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A225" w14:textId="77777777" w:rsidR="00A42312" w:rsidRDefault="00A42312" w:rsidP="00A42312">
      <w:pPr>
        <w:pStyle w:val="En-tte"/>
        <w:tabs>
          <w:tab w:val="left" w:pos="708"/>
        </w:tabs>
        <w:jc w:val="center"/>
        <w:rPr>
          <w:rStyle w:val="Accentuation"/>
          <w:rFonts w:ascii="Bookman Old Style" w:hAnsi="Bookman Old Style"/>
          <w:i w:val="0"/>
        </w:rPr>
      </w:pPr>
    </w:p>
    <w:p w14:paraId="727043D9" w14:textId="77777777" w:rsidR="00A42312" w:rsidRDefault="00A42312" w:rsidP="00A42312">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42312" w14:paraId="0707AC08" w14:textId="77777777" w:rsidTr="007201E1">
        <w:trPr>
          <w:trHeight w:val="997"/>
        </w:trPr>
        <w:tc>
          <w:tcPr>
            <w:tcW w:w="1951" w:type="dxa"/>
            <w:hideMark/>
          </w:tcPr>
          <w:p w14:paraId="57E7D6F0" w14:textId="77777777" w:rsidR="00A42312" w:rsidRDefault="00A42312" w:rsidP="007201E1">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5A64437A" wp14:editId="537D8CDD">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1291E98F" wp14:editId="02B9BC50">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9"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742D9FCF" w14:textId="77777777" w:rsidR="00A42312" w:rsidRPr="002B238F" w:rsidRDefault="00A42312" w:rsidP="007201E1">
            <w:pPr>
              <w:jc w:val="center"/>
              <w:rPr>
                <w:rStyle w:val="Accentuation"/>
                <w:i w:val="0"/>
              </w:rPr>
            </w:pPr>
            <w:r w:rsidRPr="002B238F">
              <w:rPr>
                <w:rStyle w:val="Accentuation"/>
              </w:rPr>
              <w:t>PROJET D’APPUI A L’APPLICATION DE LA LOI SUR LA FAUNE AU GABON (AALF)</w:t>
            </w:r>
          </w:p>
        </w:tc>
        <w:tc>
          <w:tcPr>
            <w:tcW w:w="1984" w:type="dxa"/>
            <w:hideMark/>
          </w:tcPr>
          <w:p w14:paraId="1558B440" w14:textId="77777777" w:rsidR="00A42312" w:rsidRPr="002B238F" w:rsidRDefault="00A42312" w:rsidP="007201E1">
            <w:pPr>
              <w:jc w:val="center"/>
              <w:rPr>
                <w:rStyle w:val="Accentuation"/>
                <w:i w:val="0"/>
              </w:rPr>
            </w:pPr>
          </w:p>
        </w:tc>
      </w:tr>
      <w:tr w:rsidR="00A42312" w:rsidRPr="00C45AA1" w14:paraId="19325462" w14:textId="77777777" w:rsidTr="007201E1">
        <w:trPr>
          <w:trHeight w:val="1414"/>
        </w:trPr>
        <w:tc>
          <w:tcPr>
            <w:tcW w:w="3794" w:type="dxa"/>
            <w:gridSpan w:val="2"/>
          </w:tcPr>
          <w:p w14:paraId="4C5F6BE6" w14:textId="77777777" w:rsidR="00A42312" w:rsidRPr="002B238F" w:rsidRDefault="00A42312" w:rsidP="007201E1">
            <w:pPr>
              <w:spacing w:before="240"/>
              <w:rPr>
                <w:rStyle w:val="Accentuation"/>
                <w:i w:val="0"/>
                <w:sz w:val="22"/>
                <w:szCs w:val="22"/>
              </w:rPr>
            </w:pPr>
            <w:r w:rsidRPr="002B238F">
              <w:rPr>
                <w:rStyle w:val="Accentuation"/>
                <w:sz w:val="22"/>
                <w:szCs w:val="22"/>
              </w:rPr>
              <w:t>REPUBLIQUE GABONAISE</w:t>
            </w:r>
          </w:p>
          <w:p w14:paraId="03BB2ADA" w14:textId="77777777" w:rsidR="00A42312" w:rsidRPr="002B238F" w:rsidRDefault="00A42312" w:rsidP="007201E1">
            <w:pPr>
              <w:rPr>
                <w:rStyle w:val="Accentuation"/>
                <w:i w:val="0"/>
                <w:sz w:val="22"/>
                <w:szCs w:val="22"/>
              </w:rPr>
            </w:pPr>
            <w:r w:rsidRPr="002B238F">
              <w:rPr>
                <w:rStyle w:val="Accentuation"/>
                <w:sz w:val="22"/>
                <w:szCs w:val="22"/>
              </w:rPr>
              <w:t>Ministère Des Eaux Et Forêts</w:t>
            </w:r>
          </w:p>
          <w:p w14:paraId="3E67ADEF" w14:textId="77777777" w:rsidR="00A42312" w:rsidRPr="002B238F" w:rsidRDefault="00A42312" w:rsidP="007201E1">
            <w:pPr>
              <w:rPr>
                <w:rStyle w:val="Accentuation"/>
                <w:i w:val="0"/>
                <w:sz w:val="22"/>
                <w:szCs w:val="22"/>
              </w:rPr>
            </w:pPr>
          </w:p>
        </w:tc>
        <w:tc>
          <w:tcPr>
            <w:tcW w:w="1451" w:type="dxa"/>
          </w:tcPr>
          <w:p w14:paraId="2A888144" w14:textId="77777777" w:rsidR="00A42312" w:rsidRPr="002B238F" w:rsidRDefault="00A42312" w:rsidP="007201E1">
            <w:pPr>
              <w:rPr>
                <w:rStyle w:val="Accentuation"/>
                <w:i w:val="0"/>
                <w:sz w:val="22"/>
                <w:szCs w:val="22"/>
              </w:rPr>
            </w:pPr>
          </w:p>
        </w:tc>
        <w:tc>
          <w:tcPr>
            <w:tcW w:w="4077" w:type="dxa"/>
            <w:gridSpan w:val="2"/>
          </w:tcPr>
          <w:p w14:paraId="51D3E691" w14:textId="77777777" w:rsidR="00A42312" w:rsidRPr="002B238F" w:rsidRDefault="00A42312" w:rsidP="007201E1">
            <w:pPr>
              <w:spacing w:before="240"/>
              <w:ind w:left="-215"/>
              <w:jc w:val="right"/>
              <w:rPr>
                <w:rStyle w:val="Accentuation"/>
                <w:i w:val="0"/>
                <w:sz w:val="22"/>
                <w:szCs w:val="22"/>
              </w:rPr>
            </w:pPr>
            <w:r w:rsidRPr="002B238F">
              <w:rPr>
                <w:rStyle w:val="Accentuation"/>
                <w:sz w:val="22"/>
                <w:szCs w:val="22"/>
              </w:rPr>
              <w:t>CONSERVATION JUSTICE GABON</w:t>
            </w:r>
          </w:p>
          <w:p w14:paraId="494132D9" w14:textId="77777777" w:rsidR="00A42312" w:rsidRPr="002B238F" w:rsidRDefault="00A42312" w:rsidP="007201E1">
            <w:pPr>
              <w:rPr>
                <w:rStyle w:val="Accentuation"/>
                <w:i w:val="0"/>
                <w:sz w:val="22"/>
                <w:szCs w:val="22"/>
              </w:rPr>
            </w:pPr>
            <w:r w:rsidRPr="002B238F">
              <w:rPr>
                <w:rStyle w:val="Accentuation"/>
                <w:sz w:val="22"/>
                <w:szCs w:val="22"/>
              </w:rPr>
              <w:t>Téléphone : (+241) 074 23 38 65</w:t>
            </w:r>
          </w:p>
          <w:p w14:paraId="6548976E" w14:textId="77777777" w:rsidR="00A42312" w:rsidRPr="002B238F" w:rsidRDefault="00A42312" w:rsidP="007201E1">
            <w:pPr>
              <w:rPr>
                <w:rStyle w:val="Accentuation"/>
                <w:i w:val="0"/>
                <w:sz w:val="22"/>
                <w:szCs w:val="22"/>
              </w:rPr>
            </w:pPr>
            <w:r w:rsidRPr="002B238F">
              <w:rPr>
                <w:rStyle w:val="Accentuation"/>
                <w:sz w:val="22"/>
                <w:szCs w:val="22"/>
              </w:rPr>
              <w:t>E-mail : luc@conservation-justice.org</w:t>
            </w:r>
          </w:p>
          <w:p w14:paraId="2CE646AE" w14:textId="77777777" w:rsidR="00A42312" w:rsidRPr="002B238F" w:rsidRDefault="00A42312" w:rsidP="007201E1">
            <w:pPr>
              <w:jc w:val="right"/>
              <w:rPr>
                <w:rStyle w:val="Accentuation"/>
                <w:i w:val="0"/>
                <w:sz w:val="22"/>
                <w:szCs w:val="22"/>
                <w:lang w:val="en-US"/>
              </w:rPr>
            </w:pPr>
            <w:r w:rsidRPr="002B238F">
              <w:rPr>
                <w:rStyle w:val="Accentuation"/>
                <w:sz w:val="22"/>
                <w:szCs w:val="22"/>
                <w:lang w:val="en-US"/>
              </w:rPr>
              <w:t>Web: www.conservation-justice.org</w:t>
            </w:r>
          </w:p>
        </w:tc>
      </w:tr>
    </w:tbl>
    <w:p w14:paraId="3ADBFEE8" w14:textId="77777777" w:rsidR="00A42312" w:rsidRDefault="00A42312" w:rsidP="00A42312">
      <w:pPr>
        <w:pStyle w:val="En-tte"/>
        <w:tabs>
          <w:tab w:val="left" w:pos="708"/>
        </w:tabs>
        <w:rPr>
          <w:rStyle w:val="Accentuation"/>
          <w:rFonts w:ascii="Bookman Old Style" w:hAnsi="Bookman Old Style"/>
          <w:i w:val="0"/>
          <w:lang w:val="en-US"/>
        </w:rPr>
      </w:pPr>
    </w:p>
    <w:p w14:paraId="24CED2D0" w14:textId="77777777" w:rsidR="00A42312" w:rsidRDefault="00A42312" w:rsidP="00A42312">
      <w:pPr>
        <w:pStyle w:val="En-tte"/>
        <w:tabs>
          <w:tab w:val="left" w:pos="708"/>
        </w:tabs>
        <w:jc w:val="center"/>
        <w:rPr>
          <w:rStyle w:val="Accentuation"/>
          <w:rFonts w:ascii="Bookman Old Style" w:hAnsi="Bookman Old Style"/>
          <w:i w:val="0"/>
          <w:sz w:val="22"/>
          <w:szCs w:val="22"/>
          <w:lang w:val="en-US"/>
        </w:rPr>
      </w:pPr>
    </w:p>
    <w:p w14:paraId="2D7A48CF" w14:textId="77777777" w:rsidR="00A42312" w:rsidRDefault="00A42312" w:rsidP="00A42312">
      <w:pPr>
        <w:pStyle w:val="En-tte"/>
        <w:tabs>
          <w:tab w:val="left" w:pos="708"/>
        </w:tabs>
        <w:rPr>
          <w:rStyle w:val="Accentuation"/>
          <w:rFonts w:ascii="Bookman Old Style" w:hAnsi="Bookman Old Style"/>
          <w:i w:val="0"/>
          <w:sz w:val="22"/>
          <w:szCs w:val="22"/>
          <w:lang w:val="en-US"/>
        </w:rPr>
      </w:pPr>
    </w:p>
    <w:p w14:paraId="4747FF78" w14:textId="77777777" w:rsidR="00A42312" w:rsidRPr="002B238F" w:rsidRDefault="00A42312" w:rsidP="00A42312">
      <w:pPr>
        <w:pStyle w:val="En-tte"/>
        <w:tabs>
          <w:tab w:val="left" w:pos="708"/>
        </w:tabs>
        <w:jc w:val="center"/>
        <w:rPr>
          <w:rStyle w:val="Accentuation"/>
          <w:i w:val="0"/>
        </w:rPr>
      </w:pPr>
      <w:r w:rsidRPr="002B238F">
        <w:rPr>
          <w:rStyle w:val="Accentuation"/>
        </w:rPr>
        <w:t>SOMMAIRE</w:t>
      </w:r>
    </w:p>
    <w:p w14:paraId="3020895E" w14:textId="77777777" w:rsidR="00A42312" w:rsidRPr="002B238F" w:rsidRDefault="00A42312" w:rsidP="00A42312">
      <w:pPr>
        <w:pStyle w:val="En-tte"/>
        <w:tabs>
          <w:tab w:val="left" w:pos="708"/>
        </w:tabs>
        <w:jc w:val="center"/>
        <w:rPr>
          <w:rStyle w:val="Accentuation"/>
          <w:i w:val="0"/>
        </w:rPr>
      </w:pPr>
    </w:p>
    <w:p w14:paraId="6B42AEC4" w14:textId="77777777" w:rsidR="00A42312" w:rsidRPr="002B238F" w:rsidRDefault="00A42312" w:rsidP="00A42312">
      <w:pPr>
        <w:pStyle w:val="En-tte"/>
        <w:tabs>
          <w:tab w:val="left" w:pos="708"/>
        </w:tabs>
        <w:jc w:val="center"/>
        <w:rPr>
          <w:rStyle w:val="Accentuation"/>
          <w:i w:val="0"/>
        </w:rPr>
      </w:pPr>
    </w:p>
    <w:p w14:paraId="78378A50" w14:textId="77777777" w:rsidR="00A42312" w:rsidRPr="002B238F" w:rsidRDefault="00A42312" w:rsidP="00A42312">
      <w:pPr>
        <w:pStyle w:val="En-tte"/>
        <w:tabs>
          <w:tab w:val="left" w:pos="708"/>
        </w:tabs>
        <w:jc w:val="center"/>
        <w:rPr>
          <w:rStyle w:val="Accentuation"/>
          <w:i w:val="0"/>
        </w:rPr>
      </w:pPr>
    </w:p>
    <w:p w14:paraId="05C21BAC" w14:textId="77777777" w:rsidR="00A42312" w:rsidRPr="00C83D9E" w:rsidRDefault="00000000" w:rsidP="00C83D9E">
      <w:pPr>
        <w:rPr>
          <w:rStyle w:val="Accentuation"/>
          <w:rFonts w:eastAsia="SimSun"/>
        </w:rPr>
      </w:pPr>
      <w:hyperlink w:anchor="_Toc7774926" w:history="1">
        <w:r w:rsidR="00A42312" w:rsidRPr="00C83D9E">
          <w:rPr>
            <w:rStyle w:val="Accentuation"/>
          </w:rPr>
          <w:t>1</w:t>
        </w:r>
        <w:r w:rsidR="00A42312" w:rsidRPr="00C83D9E">
          <w:rPr>
            <w:rStyle w:val="Accentuation"/>
            <w:rFonts w:eastAsia="SimSun"/>
          </w:rPr>
          <w:tab/>
        </w:r>
        <w:r w:rsidR="00A42312" w:rsidRPr="00C83D9E">
          <w:rPr>
            <w:rStyle w:val="Accentuation"/>
          </w:rPr>
          <w:t>Points principaux</w:t>
        </w:r>
        <w:r w:rsidR="00C83D9E">
          <w:rPr>
            <w:rStyle w:val="Accentuation"/>
            <w:webHidden/>
          </w:rPr>
          <w:t>……………………………………………………………………………..</w:t>
        </w:r>
      </w:hyperlink>
      <w:r w:rsidR="00F14023">
        <w:rPr>
          <w:rStyle w:val="Accentuation"/>
        </w:rPr>
        <w:t>.</w:t>
      </w:r>
      <w:r w:rsidR="00B53A5B">
        <w:rPr>
          <w:rStyle w:val="Accentuation"/>
        </w:rPr>
        <w:t>2</w:t>
      </w:r>
    </w:p>
    <w:p w14:paraId="02AC4BA9" w14:textId="77777777" w:rsidR="00A42312" w:rsidRPr="00C83D9E" w:rsidRDefault="00000000" w:rsidP="00C83D9E">
      <w:pPr>
        <w:rPr>
          <w:rStyle w:val="Accentuation"/>
          <w:rFonts w:eastAsia="SimSun"/>
        </w:rPr>
      </w:pPr>
      <w:hyperlink w:anchor="_Toc7774927" w:history="1">
        <w:r w:rsidR="00A42312" w:rsidRPr="00C83D9E">
          <w:rPr>
            <w:rStyle w:val="Accentuation"/>
          </w:rPr>
          <w:t>2</w:t>
        </w:r>
        <w:r w:rsidR="00A42312" w:rsidRPr="00C83D9E">
          <w:rPr>
            <w:rStyle w:val="Accentuation"/>
            <w:rFonts w:eastAsia="SimSun"/>
          </w:rPr>
          <w:tab/>
        </w:r>
        <w:r w:rsidR="00A42312" w:rsidRPr="00C83D9E">
          <w:rPr>
            <w:rStyle w:val="Accentuation"/>
          </w:rPr>
          <w:t>Investigations</w:t>
        </w:r>
        <w:r w:rsidR="00A42312" w:rsidRPr="00C83D9E">
          <w:rPr>
            <w:rStyle w:val="Accentuation"/>
            <w:webHidden/>
          </w:rPr>
          <w:tab/>
        </w:r>
        <w:r w:rsidR="00C83D9E">
          <w:rPr>
            <w:rStyle w:val="Accentuation"/>
            <w:webHidden/>
          </w:rPr>
          <w:t>………………………………………………………………………………….</w:t>
        </w:r>
      </w:hyperlink>
      <w:r w:rsidR="00B53A5B">
        <w:rPr>
          <w:rStyle w:val="Accentuation"/>
        </w:rPr>
        <w:t>2</w:t>
      </w:r>
    </w:p>
    <w:p w14:paraId="26DF5263" w14:textId="77777777" w:rsidR="00A42312" w:rsidRPr="00C83D9E" w:rsidRDefault="00000000" w:rsidP="00C83D9E">
      <w:pPr>
        <w:rPr>
          <w:rStyle w:val="Accentuation"/>
          <w:rFonts w:eastAsia="SimSun"/>
        </w:rPr>
      </w:pPr>
      <w:hyperlink w:anchor="_Toc7774928" w:history="1">
        <w:r w:rsidR="00A42312" w:rsidRPr="00C83D9E">
          <w:rPr>
            <w:rStyle w:val="Accentuation"/>
          </w:rPr>
          <w:t>3</w:t>
        </w:r>
        <w:r w:rsidR="00A42312" w:rsidRPr="00C83D9E">
          <w:rPr>
            <w:rStyle w:val="Accentuation"/>
            <w:rFonts w:eastAsia="SimSun"/>
          </w:rPr>
          <w:tab/>
        </w:r>
        <w:r w:rsidR="00A42312" w:rsidRPr="00C83D9E">
          <w:rPr>
            <w:rStyle w:val="Accentuation"/>
          </w:rPr>
          <w:t>Opérations</w:t>
        </w:r>
        <w:r w:rsidR="00A42312" w:rsidRPr="00C83D9E">
          <w:rPr>
            <w:rStyle w:val="Accentuation"/>
            <w:webHidden/>
          </w:rPr>
          <w:tab/>
        </w:r>
      </w:hyperlink>
      <w:r w:rsidR="00C83D9E">
        <w:rPr>
          <w:rStyle w:val="Accentuation"/>
        </w:rPr>
        <w:t>………………………………………………………………………………….</w:t>
      </w:r>
      <w:r w:rsidR="00A42312" w:rsidRPr="00C83D9E">
        <w:rPr>
          <w:rStyle w:val="Accentuation"/>
        </w:rPr>
        <w:t>2</w:t>
      </w:r>
    </w:p>
    <w:p w14:paraId="60685816" w14:textId="77777777" w:rsidR="00A42312" w:rsidRPr="00C83D9E" w:rsidRDefault="00000000" w:rsidP="00C83D9E">
      <w:pPr>
        <w:rPr>
          <w:rStyle w:val="Accentuation"/>
          <w:rFonts w:eastAsia="SimSun"/>
        </w:rPr>
      </w:pPr>
      <w:hyperlink w:anchor="_Toc7774929" w:history="1">
        <w:r w:rsidR="00A42312" w:rsidRPr="00C83D9E">
          <w:rPr>
            <w:rStyle w:val="Accentuation"/>
          </w:rPr>
          <w:t>4</w:t>
        </w:r>
        <w:r w:rsidR="00A42312" w:rsidRPr="00C83D9E">
          <w:rPr>
            <w:rStyle w:val="Accentuation"/>
            <w:rFonts w:eastAsia="SimSun"/>
          </w:rPr>
          <w:tab/>
        </w:r>
        <w:r w:rsidR="00A42312" w:rsidRPr="00C83D9E">
          <w:rPr>
            <w:rStyle w:val="Accentuation"/>
          </w:rPr>
          <w:t>Département juridique……………………………………………………………………….</w:t>
        </w:r>
        <w:r w:rsidR="00F14023">
          <w:rPr>
            <w:rStyle w:val="Accentuation"/>
          </w:rPr>
          <w:t> </w:t>
        </w:r>
      </w:hyperlink>
      <w:r w:rsidR="00F14023">
        <w:rPr>
          <w:rStyle w:val="Accentuation"/>
        </w:rPr>
        <w:t>2</w:t>
      </w:r>
    </w:p>
    <w:p w14:paraId="1E0836B6" w14:textId="77777777" w:rsidR="00A42312" w:rsidRPr="00C83D9E" w:rsidRDefault="00000000" w:rsidP="00C83D9E">
      <w:pPr>
        <w:rPr>
          <w:rStyle w:val="Accentuation"/>
          <w:rFonts w:eastAsia="SimSun"/>
        </w:rPr>
      </w:pPr>
      <w:hyperlink w:anchor="_Toc7774930" w:history="1">
        <w:r w:rsidR="00A42312" w:rsidRPr="00C83D9E">
          <w:rPr>
            <w:rStyle w:val="Accentuation"/>
          </w:rPr>
          <w:t>5</w:t>
        </w:r>
        <w:r w:rsidR="00A42312" w:rsidRPr="00C83D9E">
          <w:rPr>
            <w:rStyle w:val="Accentuation"/>
            <w:rFonts w:eastAsia="SimSun"/>
          </w:rPr>
          <w:tab/>
        </w:r>
        <w:r w:rsidR="00A42312" w:rsidRPr="00C83D9E">
          <w:rPr>
            <w:rStyle w:val="Accentuation"/>
          </w:rPr>
          <w:t>Communication</w:t>
        </w:r>
        <w:r w:rsidR="00A42312" w:rsidRPr="00C83D9E">
          <w:rPr>
            <w:rStyle w:val="Accentuation"/>
            <w:webHidden/>
          </w:rPr>
          <w:tab/>
        </w:r>
      </w:hyperlink>
      <w:r w:rsidR="00C83D9E">
        <w:rPr>
          <w:rStyle w:val="Accentuation"/>
        </w:rPr>
        <w:t>…………………………………………………………………………</w:t>
      </w:r>
      <w:r w:rsidR="00AB74EC">
        <w:rPr>
          <w:rStyle w:val="Accentuation"/>
        </w:rPr>
        <w:t>4</w:t>
      </w:r>
    </w:p>
    <w:p w14:paraId="3C279B1D" w14:textId="77777777" w:rsidR="00A42312" w:rsidRPr="00C83D9E" w:rsidRDefault="00000000" w:rsidP="00C83D9E">
      <w:pPr>
        <w:rPr>
          <w:rStyle w:val="Accentuation"/>
          <w:rFonts w:eastAsia="SimSun"/>
        </w:rPr>
      </w:pPr>
      <w:hyperlink w:anchor="_Toc7774931" w:history="1">
        <w:r w:rsidR="00A42312" w:rsidRPr="00C83D9E">
          <w:rPr>
            <w:rStyle w:val="Accentuation"/>
          </w:rPr>
          <w:t>6</w:t>
        </w:r>
        <w:r w:rsidR="00A42312" w:rsidRPr="00C83D9E">
          <w:rPr>
            <w:rStyle w:val="Accentuation"/>
            <w:rFonts w:eastAsia="SimSun"/>
          </w:rPr>
          <w:tab/>
        </w:r>
        <w:r w:rsidR="00A42312" w:rsidRPr="00C83D9E">
          <w:rPr>
            <w:rStyle w:val="Accentuation"/>
          </w:rPr>
          <w:t>Relations extérieures</w:t>
        </w:r>
        <w:r w:rsidR="00A42312" w:rsidRPr="00C83D9E">
          <w:rPr>
            <w:rStyle w:val="Accentuation"/>
            <w:webHidden/>
          </w:rPr>
          <w:tab/>
        </w:r>
      </w:hyperlink>
      <w:r w:rsidR="00C83D9E">
        <w:rPr>
          <w:rStyle w:val="Accentuation"/>
        </w:rPr>
        <w:t>…………………………………………………………………………</w:t>
      </w:r>
      <w:r w:rsidR="00AB74EC">
        <w:rPr>
          <w:rStyle w:val="Accentuation"/>
        </w:rPr>
        <w:t>4</w:t>
      </w:r>
    </w:p>
    <w:p w14:paraId="56768DD0" w14:textId="77777777" w:rsidR="00A42312" w:rsidRPr="00C83D9E" w:rsidRDefault="00000000" w:rsidP="00C83D9E">
      <w:pPr>
        <w:rPr>
          <w:rStyle w:val="Accentuation"/>
          <w:rFonts w:eastAsia="SimSun"/>
        </w:rPr>
      </w:pPr>
      <w:hyperlink w:anchor="_Toc7774932" w:history="1">
        <w:r w:rsidR="00A42312" w:rsidRPr="00C83D9E">
          <w:rPr>
            <w:rStyle w:val="Accentuation"/>
          </w:rPr>
          <w:t>7</w:t>
        </w:r>
        <w:r w:rsidR="00A42312" w:rsidRPr="00C83D9E">
          <w:rPr>
            <w:rStyle w:val="Accentuation"/>
            <w:rFonts w:eastAsia="SimSun"/>
          </w:rPr>
          <w:tab/>
        </w:r>
        <w:r w:rsidR="00A42312" w:rsidRPr="00C83D9E">
          <w:rPr>
            <w:rStyle w:val="Accentuation"/>
          </w:rPr>
          <w:t>Conclusion</w:t>
        </w:r>
        <w:r w:rsidR="00A42312" w:rsidRPr="00C83D9E">
          <w:rPr>
            <w:rStyle w:val="Accentuation"/>
            <w:webHidden/>
          </w:rPr>
          <w:tab/>
        </w:r>
        <w:r w:rsidR="00C83D9E">
          <w:rPr>
            <w:rStyle w:val="Accentuation"/>
            <w:webHidden/>
          </w:rPr>
          <w:t>………………………………………………………………………………….</w:t>
        </w:r>
      </w:hyperlink>
      <w:r w:rsidR="00AB74EC">
        <w:rPr>
          <w:rStyle w:val="Accentuation"/>
        </w:rPr>
        <w:t>5</w:t>
      </w:r>
    </w:p>
    <w:p w14:paraId="1D2B3C15" w14:textId="77777777" w:rsidR="00A42312" w:rsidRPr="002B238F" w:rsidRDefault="00A42312" w:rsidP="00A42312">
      <w:pPr>
        <w:tabs>
          <w:tab w:val="right" w:leader="dot" w:pos="9062"/>
        </w:tabs>
        <w:jc w:val="center"/>
        <w:rPr>
          <w:rStyle w:val="Accentuation"/>
          <w:i w:val="0"/>
        </w:rPr>
      </w:pPr>
    </w:p>
    <w:p w14:paraId="1EACAB1A" w14:textId="77777777" w:rsidR="00A42312" w:rsidRPr="002B238F" w:rsidRDefault="00A42312" w:rsidP="00A42312">
      <w:pPr>
        <w:tabs>
          <w:tab w:val="right" w:leader="dot" w:pos="9062"/>
        </w:tabs>
        <w:jc w:val="center"/>
        <w:rPr>
          <w:rStyle w:val="Accentuation"/>
          <w:i w:val="0"/>
        </w:rPr>
      </w:pPr>
    </w:p>
    <w:p w14:paraId="612CC422" w14:textId="77777777" w:rsidR="00A42312" w:rsidRPr="002B238F" w:rsidRDefault="00A42312" w:rsidP="00A42312">
      <w:pPr>
        <w:tabs>
          <w:tab w:val="right" w:leader="dot" w:pos="9062"/>
        </w:tabs>
        <w:jc w:val="center"/>
        <w:rPr>
          <w:rStyle w:val="Accentuation"/>
          <w:i w:val="0"/>
        </w:rPr>
      </w:pPr>
    </w:p>
    <w:p w14:paraId="0D6D3554" w14:textId="77777777" w:rsidR="00A42312" w:rsidRPr="002B238F" w:rsidRDefault="00A42312" w:rsidP="00A42312">
      <w:pPr>
        <w:jc w:val="center"/>
        <w:rPr>
          <w:b/>
        </w:rPr>
      </w:pPr>
      <w:r>
        <w:rPr>
          <w:b/>
        </w:rPr>
        <w:t>Rapport Mensuel</w:t>
      </w:r>
      <w:r w:rsidR="008F54F9">
        <w:rPr>
          <w:b/>
        </w:rPr>
        <w:t xml:space="preserve"> Novembre 2025</w:t>
      </w:r>
    </w:p>
    <w:p w14:paraId="31A39D5A" w14:textId="77777777" w:rsidR="00A42312" w:rsidRDefault="00A42312" w:rsidP="00A42312">
      <w:pPr>
        <w:jc w:val="center"/>
        <w:rPr>
          <w:b/>
          <w:sz w:val="22"/>
          <w:szCs w:val="22"/>
        </w:rPr>
      </w:pPr>
    </w:p>
    <w:p w14:paraId="6CD84442" w14:textId="77777777" w:rsidR="00A42312" w:rsidRDefault="00A42312" w:rsidP="00A42312">
      <w:pPr>
        <w:jc w:val="center"/>
        <w:rPr>
          <w:sz w:val="22"/>
          <w:szCs w:val="22"/>
        </w:rPr>
      </w:pPr>
      <w:r>
        <w:rPr>
          <w:sz w:val="22"/>
          <w:szCs w:val="22"/>
        </w:rPr>
        <w:t>Conservation Justice</w:t>
      </w:r>
    </w:p>
    <w:p w14:paraId="3FBF8B84"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p>
    <w:p w14:paraId="32582464" w14:textId="77777777" w:rsidR="00A42312" w:rsidRDefault="00A42312" w:rsidP="00A42312">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2A7A06BB" wp14:editId="2660FA38">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rcRect/>
                    <a:stretch/>
                  </pic:blipFill>
                  <pic:spPr>
                    <a:xfrm>
                      <a:off x="0" y="0"/>
                      <a:ext cx="1359017" cy="906011"/>
                    </a:xfrm>
                    <a:prstGeom prst="rect">
                      <a:avLst/>
                    </a:prstGeom>
                  </pic:spPr>
                </pic:pic>
              </a:graphicData>
            </a:graphic>
          </wp:inline>
        </w:drawing>
      </w:r>
    </w:p>
    <w:p w14:paraId="7A78D735" w14:textId="77777777" w:rsidR="00A42312" w:rsidRDefault="00A42312" w:rsidP="00A42312">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08E50604"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5524815F" w14:textId="77777777" w:rsidR="00A42312" w:rsidRDefault="00A42312" w:rsidP="00A42312">
      <w:pPr>
        <w:tabs>
          <w:tab w:val="left" w:pos="2680"/>
          <w:tab w:val="right" w:leader="dot" w:pos="9062"/>
        </w:tabs>
        <w:jc w:val="center"/>
        <w:rPr>
          <w:rStyle w:val="Accentuation"/>
          <w:rFonts w:ascii="Arial" w:hAnsi="Arial" w:cs="Arial"/>
          <w:i w:val="0"/>
          <w:sz w:val="22"/>
          <w:szCs w:val="22"/>
        </w:rPr>
      </w:pPr>
    </w:p>
    <w:p w14:paraId="74840302"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07745A58"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15BA83C4"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2F5DA69C" w14:textId="77777777" w:rsidR="00A42312" w:rsidRDefault="00A42312" w:rsidP="00A42312">
      <w:pPr>
        <w:tabs>
          <w:tab w:val="left" w:pos="2680"/>
          <w:tab w:val="right" w:leader="dot" w:pos="9062"/>
        </w:tabs>
        <w:jc w:val="center"/>
        <w:rPr>
          <w:rFonts w:ascii="Calibri" w:hAnsi="Calibri" w:cs="Calibri"/>
          <w:color w:val="000000"/>
          <w:sz w:val="22"/>
          <w:szCs w:val="22"/>
          <w:lang w:eastAsia="fr-FR"/>
        </w:rPr>
      </w:pPr>
    </w:p>
    <w:p w14:paraId="36CD6F30" w14:textId="77777777" w:rsidR="00A42312" w:rsidRDefault="00A42312" w:rsidP="00A42312">
      <w:pPr>
        <w:tabs>
          <w:tab w:val="left" w:pos="2680"/>
          <w:tab w:val="right" w:leader="dot" w:pos="9062"/>
        </w:tabs>
        <w:jc w:val="center"/>
        <w:rPr>
          <w:rFonts w:ascii="Calibri" w:hAnsi="Calibri" w:cs="Calibri"/>
          <w:iCs/>
          <w:sz w:val="22"/>
          <w:szCs w:val="22"/>
        </w:rPr>
      </w:pPr>
    </w:p>
    <w:p w14:paraId="022F46FA" w14:textId="77777777" w:rsidR="00B53A5B" w:rsidRDefault="00B53A5B" w:rsidP="00A42312">
      <w:pPr>
        <w:tabs>
          <w:tab w:val="left" w:pos="2680"/>
          <w:tab w:val="right" w:leader="dot" w:pos="9062"/>
        </w:tabs>
        <w:jc w:val="center"/>
        <w:rPr>
          <w:rFonts w:ascii="Calibri" w:hAnsi="Calibri" w:cs="Calibri"/>
          <w:iCs/>
          <w:sz w:val="22"/>
          <w:szCs w:val="22"/>
        </w:rPr>
      </w:pPr>
    </w:p>
    <w:p w14:paraId="6AC2A3AF" w14:textId="77777777" w:rsidR="00B53A5B" w:rsidRDefault="00B53A5B" w:rsidP="00A42312">
      <w:pPr>
        <w:tabs>
          <w:tab w:val="left" w:pos="2680"/>
          <w:tab w:val="right" w:leader="dot" w:pos="9062"/>
        </w:tabs>
        <w:jc w:val="center"/>
        <w:rPr>
          <w:rFonts w:ascii="Calibri" w:hAnsi="Calibri" w:cs="Calibri"/>
          <w:iCs/>
          <w:sz w:val="22"/>
          <w:szCs w:val="22"/>
        </w:rPr>
      </w:pPr>
    </w:p>
    <w:p w14:paraId="480E59A0" w14:textId="77777777" w:rsidR="00A42312" w:rsidRPr="003872FB" w:rsidRDefault="00A42312" w:rsidP="00A42312">
      <w:pPr>
        <w:rPr>
          <w:rStyle w:val="Accentuation"/>
          <w:rFonts w:ascii="Garamond" w:hAnsi="Garamond"/>
          <w:i w:val="0"/>
        </w:rPr>
      </w:pPr>
    </w:p>
    <w:p w14:paraId="699132ED" w14:textId="77777777" w:rsidR="00A42312" w:rsidRPr="002B238F" w:rsidRDefault="00A42312" w:rsidP="00A42312">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025BAC35" w14:textId="77777777" w:rsidR="00A42312" w:rsidRPr="002B238F" w:rsidRDefault="00A42312" w:rsidP="00A42312">
      <w:pPr>
        <w:jc w:val="both"/>
      </w:pPr>
    </w:p>
    <w:p w14:paraId="11EA1545" w14:textId="65417524" w:rsidR="00A42312" w:rsidRDefault="00C45AA1" w:rsidP="00D2097B">
      <w:pPr>
        <w:pStyle w:val="Paragraphedeliste"/>
        <w:numPr>
          <w:ilvl w:val="0"/>
          <w:numId w:val="3"/>
        </w:numPr>
        <w:jc w:val="both"/>
      </w:pPr>
      <w:r w:rsidRPr="002F645A">
        <w:rPr>
          <w:b/>
          <w:bCs/>
        </w:rPr>
        <w:t>12 Novembre 2025</w:t>
      </w:r>
      <w:r>
        <w:t> : Appui à l’organisation d’u</w:t>
      </w:r>
      <w:r w:rsidR="00D2097B">
        <w:t xml:space="preserve">ne opération aboutissant à l’arrestation de quatre présumés trafiquants d’ivoire et la saisie de </w:t>
      </w:r>
      <w:r w:rsidR="004775BC">
        <w:t>quatorze pointes d’ivoire</w:t>
      </w:r>
      <w:r w:rsidR="00243FBB">
        <w:t> </w:t>
      </w:r>
      <w:r>
        <w:t xml:space="preserve">à </w:t>
      </w:r>
      <w:r w:rsidR="00B51A6E">
        <w:t>Makokou ;</w:t>
      </w:r>
    </w:p>
    <w:p w14:paraId="5C3EAB65" w14:textId="77777777" w:rsidR="00243FBB" w:rsidRPr="002B238F" w:rsidRDefault="0066380B" w:rsidP="00D2097B">
      <w:pPr>
        <w:pStyle w:val="Paragraphedeliste"/>
        <w:numPr>
          <w:ilvl w:val="0"/>
          <w:numId w:val="3"/>
        </w:numPr>
        <w:jc w:val="both"/>
      </w:pPr>
      <w:r>
        <w:t>Trois enquêtes sur le trafic de faune réalisées</w:t>
      </w:r>
      <w:r w:rsidR="00C448ED">
        <w:t xml:space="preserve"> dans les provinces de l’Ogooué-Ivindo et </w:t>
      </w:r>
      <w:proofErr w:type="spellStart"/>
      <w:r w:rsidR="00C448ED">
        <w:t>Woleu-Ntem</w:t>
      </w:r>
      <w:proofErr w:type="spellEnd"/>
      <w:r w:rsidR="00C448ED">
        <w:t>.</w:t>
      </w:r>
    </w:p>
    <w:p w14:paraId="6B421C6D" w14:textId="77777777" w:rsidR="00A42312" w:rsidRPr="003872FB" w:rsidRDefault="00A42312" w:rsidP="00A42312">
      <w:pPr>
        <w:jc w:val="both"/>
        <w:rPr>
          <w:rFonts w:ascii="Garamond" w:hAnsi="Garamond"/>
          <w:i/>
          <w:iCs/>
        </w:rPr>
      </w:pPr>
    </w:p>
    <w:p w14:paraId="62498086" w14:textId="77777777" w:rsidR="00A42312" w:rsidRPr="003872FB" w:rsidRDefault="00A42312" w:rsidP="00A42312">
      <w:pPr>
        <w:jc w:val="both"/>
        <w:rPr>
          <w:rStyle w:val="Accentuation"/>
          <w:rFonts w:ascii="Garamond" w:hAnsi="Garamond" w:cs="Calibri"/>
          <w:i w:val="0"/>
          <w:iCs w:val="0"/>
        </w:rPr>
      </w:pPr>
    </w:p>
    <w:p w14:paraId="38D4897E" w14:textId="77777777" w:rsidR="00A42312" w:rsidRPr="00B71515" w:rsidRDefault="00A42312" w:rsidP="00A42312">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4CAB876E" w14:textId="77777777" w:rsidR="00A42312" w:rsidRPr="003872FB" w:rsidRDefault="00A42312" w:rsidP="00A42312">
      <w:pPr>
        <w:jc w:val="both"/>
        <w:rPr>
          <w:rStyle w:val="Accentuation"/>
          <w:rFonts w:ascii="Garamond" w:hAnsi="Garamond" w:cs="Arial"/>
          <w:i w:val="0"/>
        </w:rPr>
      </w:pPr>
    </w:p>
    <w:p w14:paraId="6B776CF0"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42312" w:rsidRPr="003872FB" w14:paraId="2E640874" w14:textId="77777777" w:rsidTr="007201E1">
        <w:trPr>
          <w:jc w:val="center"/>
        </w:trPr>
        <w:tc>
          <w:tcPr>
            <w:tcW w:w="4520" w:type="dxa"/>
          </w:tcPr>
          <w:p w14:paraId="5F9B1531" w14:textId="77777777" w:rsidR="00A42312" w:rsidRPr="00B71515" w:rsidRDefault="00A42312" w:rsidP="007201E1">
            <w:pPr>
              <w:jc w:val="both"/>
              <w:rPr>
                <w:rStyle w:val="Accentuation"/>
                <w:i w:val="0"/>
              </w:rPr>
            </w:pPr>
            <w:r w:rsidRPr="00B71515">
              <w:rPr>
                <w:rStyle w:val="Accentuation"/>
              </w:rPr>
              <w:t>Nombre d’investigations menées</w:t>
            </w:r>
          </w:p>
        </w:tc>
        <w:tc>
          <w:tcPr>
            <w:tcW w:w="4235" w:type="dxa"/>
          </w:tcPr>
          <w:p w14:paraId="5B88E91E" w14:textId="77777777" w:rsidR="00A42312" w:rsidRPr="008F54F9" w:rsidRDefault="008F54F9" w:rsidP="008F54F9">
            <w:pPr>
              <w:jc w:val="center"/>
              <w:rPr>
                <w:rStyle w:val="Accentuation"/>
                <w:iCs w:val="0"/>
              </w:rPr>
            </w:pPr>
            <w:r w:rsidRPr="008F54F9">
              <w:rPr>
                <w:rStyle w:val="Accentuation"/>
                <w:iCs w:val="0"/>
              </w:rPr>
              <w:t>03</w:t>
            </w:r>
          </w:p>
        </w:tc>
      </w:tr>
      <w:tr w:rsidR="00A42312" w:rsidRPr="003872FB" w14:paraId="32C4A54A" w14:textId="77777777" w:rsidTr="007201E1">
        <w:trPr>
          <w:jc w:val="center"/>
        </w:trPr>
        <w:tc>
          <w:tcPr>
            <w:tcW w:w="4520" w:type="dxa"/>
          </w:tcPr>
          <w:p w14:paraId="4EA51AD6" w14:textId="77777777" w:rsidR="00A42312" w:rsidRPr="00B71515" w:rsidRDefault="00A42312" w:rsidP="007201E1">
            <w:pPr>
              <w:rPr>
                <w:rStyle w:val="Accentuation"/>
                <w:i w:val="0"/>
              </w:rPr>
            </w:pPr>
            <w:r w:rsidRPr="00B71515">
              <w:rPr>
                <w:rStyle w:val="Accentuation"/>
              </w:rPr>
              <w:t>Investigations ayant mené à une opération</w:t>
            </w:r>
          </w:p>
        </w:tc>
        <w:tc>
          <w:tcPr>
            <w:tcW w:w="4235" w:type="dxa"/>
          </w:tcPr>
          <w:p w14:paraId="2F0375A2" w14:textId="77777777" w:rsidR="00A42312" w:rsidRPr="008F54F9" w:rsidRDefault="008F54F9" w:rsidP="008F54F9">
            <w:pPr>
              <w:jc w:val="center"/>
              <w:rPr>
                <w:rStyle w:val="Accentuation"/>
                <w:iCs w:val="0"/>
              </w:rPr>
            </w:pPr>
            <w:r>
              <w:rPr>
                <w:rStyle w:val="Accentuation"/>
                <w:iCs w:val="0"/>
              </w:rPr>
              <w:t>0</w:t>
            </w:r>
            <w:r w:rsidRPr="008F54F9">
              <w:rPr>
                <w:rStyle w:val="Accentuation"/>
                <w:iCs w:val="0"/>
              </w:rPr>
              <w:t>1</w:t>
            </w:r>
          </w:p>
        </w:tc>
      </w:tr>
      <w:tr w:rsidR="00A42312" w:rsidRPr="003872FB" w14:paraId="2188B5CB" w14:textId="77777777" w:rsidTr="007201E1">
        <w:trPr>
          <w:jc w:val="center"/>
        </w:trPr>
        <w:tc>
          <w:tcPr>
            <w:tcW w:w="4520" w:type="dxa"/>
          </w:tcPr>
          <w:p w14:paraId="3D05CEC4" w14:textId="77777777" w:rsidR="00A42312" w:rsidRPr="00B71515" w:rsidRDefault="00A42312" w:rsidP="007201E1">
            <w:pPr>
              <w:jc w:val="both"/>
              <w:rPr>
                <w:rStyle w:val="Accentuation"/>
                <w:i w:val="0"/>
              </w:rPr>
            </w:pPr>
            <w:r w:rsidRPr="00B71515">
              <w:rPr>
                <w:rStyle w:val="Accentuation"/>
              </w:rPr>
              <w:t>Nombre de trafiquants identifiés</w:t>
            </w:r>
          </w:p>
        </w:tc>
        <w:tc>
          <w:tcPr>
            <w:tcW w:w="4235" w:type="dxa"/>
          </w:tcPr>
          <w:p w14:paraId="22DA089A" w14:textId="77777777" w:rsidR="00A42312" w:rsidRPr="008F54F9" w:rsidRDefault="008F54F9" w:rsidP="008F54F9">
            <w:pPr>
              <w:jc w:val="center"/>
              <w:rPr>
                <w:rStyle w:val="Accentuation"/>
                <w:iCs w:val="0"/>
              </w:rPr>
            </w:pPr>
            <w:r>
              <w:rPr>
                <w:rStyle w:val="Accentuation"/>
                <w:iCs w:val="0"/>
              </w:rPr>
              <w:t>09</w:t>
            </w:r>
          </w:p>
        </w:tc>
      </w:tr>
    </w:tbl>
    <w:p w14:paraId="14B2E8EB" w14:textId="77777777" w:rsidR="00A42312" w:rsidRDefault="00A42312" w:rsidP="00A42312">
      <w:pPr>
        <w:tabs>
          <w:tab w:val="left" w:pos="5590"/>
        </w:tabs>
        <w:jc w:val="both"/>
        <w:rPr>
          <w:rFonts w:ascii="Garamond" w:hAnsi="Garamond" w:cs="Arial"/>
          <w:iCs/>
          <w:color w:val="FF0000"/>
        </w:rPr>
      </w:pPr>
      <w:bookmarkStart w:id="3" w:name="_Toc7774928"/>
    </w:p>
    <w:p w14:paraId="2E9E2D61" w14:textId="77777777" w:rsidR="00A42312" w:rsidRDefault="00A42312" w:rsidP="00A42312">
      <w:pPr>
        <w:jc w:val="both"/>
        <w:rPr>
          <w:iCs/>
        </w:rPr>
      </w:pPr>
    </w:p>
    <w:p w14:paraId="053FA9F3" w14:textId="79472234" w:rsidR="00A751DA" w:rsidRDefault="008F54F9" w:rsidP="00A42312">
      <w:pPr>
        <w:jc w:val="both"/>
        <w:rPr>
          <w:color w:val="000000"/>
          <w:lang w:eastAsia="fr-FR"/>
        </w:rPr>
      </w:pPr>
      <w:r w:rsidRPr="008F54F9">
        <w:rPr>
          <w:color w:val="000000"/>
          <w:lang w:eastAsia="fr-FR"/>
        </w:rPr>
        <w:t xml:space="preserve">Trois missions d’enquêtes ont été </w:t>
      </w:r>
      <w:r w:rsidR="00C45AA1">
        <w:rPr>
          <w:color w:val="000000"/>
          <w:lang w:eastAsia="fr-FR"/>
        </w:rPr>
        <w:t xml:space="preserve">menées </w:t>
      </w:r>
      <w:r w:rsidRPr="008F54F9">
        <w:rPr>
          <w:color w:val="000000"/>
          <w:lang w:eastAsia="fr-FR"/>
        </w:rPr>
        <w:t xml:space="preserve">sur le trafic de faune à travers les provinces de l’Ogooué-Ivindo et le </w:t>
      </w:r>
      <w:proofErr w:type="spellStart"/>
      <w:r w:rsidRPr="008F54F9">
        <w:rPr>
          <w:color w:val="000000"/>
          <w:lang w:eastAsia="fr-FR"/>
        </w:rPr>
        <w:t>Woleu-Ntem</w:t>
      </w:r>
      <w:proofErr w:type="spellEnd"/>
      <w:r w:rsidRPr="008F54F9">
        <w:rPr>
          <w:color w:val="000000"/>
          <w:lang w:eastAsia="fr-FR"/>
        </w:rPr>
        <w:t>. Celles-ci ont permis d’identifier neuf (09) trafiquants majeurs.</w:t>
      </w:r>
      <w:r>
        <w:rPr>
          <w:color w:val="000000"/>
          <w:lang w:eastAsia="fr-FR"/>
        </w:rPr>
        <w:t xml:space="preserve"> </w:t>
      </w:r>
    </w:p>
    <w:p w14:paraId="76677C3B" w14:textId="77777777" w:rsidR="008F54F9" w:rsidRPr="00A97AAA" w:rsidRDefault="008F54F9" w:rsidP="00A42312">
      <w:pPr>
        <w:jc w:val="both"/>
        <w:rPr>
          <w:color w:val="000000"/>
          <w:lang w:eastAsia="fr-FR"/>
        </w:rPr>
      </w:pPr>
    </w:p>
    <w:p w14:paraId="7B15E308" w14:textId="326E1FDB" w:rsidR="00A42312" w:rsidRPr="00B71515" w:rsidRDefault="00A42312" w:rsidP="00A42312">
      <w:pPr>
        <w:pStyle w:val="Titre1"/>
        <w:shd w:val="clear" w:color="auto" w:fill="000000"/>
        <w:rPr>
          <w:rStyle w:val="Accentuation"/>
          <w:i w:val="0"/>
          <w:sz w:val="24"/>
        </w:rPr>
      </w:pPr>
      <w:r w:rsidRPr="00B71515">
        <w:rPr>
          <w:rStyle w:val="Accentuation"/>
          <w:sz w:val="24"/>
        </w:rPr>
        <w:t>Opérations</w:t>
      </w:r>
      <w:bookmarkEnd w:id="3"/>
    </w:p>
    <w:p w14:paraId="11B3B700" w14:textId="77777777" w:rsidR="00A42312" w:rsidRPr="003872FB" w:rsidRDefault="00A42312" w:rsidP="00A42312">
      <w:pPr>
        <w:jc w:val="both"/>
        <w:rPr>
          <w:rStyle w:val="Accentuation"/>
          <w:rFonts w:ascii="Garamond" w:hAnsi="Garamond" w:cs="Arial"/>
          <w:iCs w:val="0"/>
        </w:rPr>
      </w:pPr>
    </w:p>
    <w:p w14:paraId="36802FAD" w14:textId="77777777"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42312" w:rsidRPr="003872FB" w14:paraId="4650774D" w14:textId="77777777" w:rsidTr="007201E1">
        <w:trPr>
          <w:trHeight w:val="283"/>
          <w:jc w:val="center"/>
        </w:trPr>
        <w:tc>
          <w:tcPr>
            <w:tcW w:w="4561" w:type="dxa"/>
          </w:tcPr>
          <w:p w14:paraId="6EB1CDEC" w14:textId="77777777" w:rsidR="00A42312" w:rsidRPr="00B71515" w:rsidRDefault="00A42312" w:rsidP="007201E1">
            <w:pPr>
              <w:jc w:val="both"/>
              <w:rPr>
                <w:rStyle w:val="Accentuation"/>
                <w:i w:val="0"/>
              </w:rPr>
            </w:pPr>
            <w:r w:rsidRPr="00B71515">
              <w:rPr>
                <w:rStyle w:val="Accentuation"/>
              </w:rPr>
              <w:t>Nombre d’opérations menées</w:t>
            </w:r>
          </w:p>
        </w:tc>
        <w:tc>
          <w:tcPr>
            <w:tcW w:w="4216" w:type="dxa"/>
          </w:tcPr>
          <w:p w14:paraId="3635BAEA" w14:textId="77777777" w:rsidR="00A42312" w:rsidRPr="008F54F9" w:rsidRDefault="003374BF" w:rsidP="007201E1">
            <w:pPr>
              <w:jc w:val="center"/>
              <w:rPr>
                <w:rStyle w:val="Accentuation"/>
                <w:iCs w:val="0"/>
              </w:rPr>
            </w:pPr>
            <w:r w:rsidRPr="008F54F9">
              <w:rPr>
                <w:rStyle w:val="Accentuation"/>
                <w:iCs w:val="0"/>
              </w:rPr>
              <w:t>0</w:t>
            </w:r>
            <w:r w:rsidR="008F54F9" w:rsidRPr="008F54F9">
              <w:rPr>
                <w:rStyle w:val="Accentuation"/>
                <w:iCs w:val="0"/>
              </w:rPr>
              <w:t>1</w:t>
            </w:r>
          </w:p>
        </w:tc>
      </w:tr>
      <w:tr w:rsidR="00A42312" w:rsidRPr="003872FB" w14:paraId="361504D6" w14:textId="77777777" w:rsidTr="007201E1">
        <w:trPr>
          <w:trHeight w:val="283"/>
          <w:jc w:val="center"/>
        </w:trPr>
        <w:tc>
          <w:tcPr>
            <w:tcW w:w="4561" w:type="dxa"/>
          </w:tcPr>
          <w:p w14:paraId="17FDAC14" w14:textId="77777777" w:rsidR="00A42312" w:rsidRPr="00B71515" w:rsidRDefault="00A42312" w:rsidP="007201E1">
            <w:pPr>
              <w:jc w:val="both"/>
              <w:rPr>
                <w:rStyle w:val="Accentuation"/>
                <w:i w:val="0"/>
              </w:rPr>
            </w:pPr>
            <w:r w:rsidRPr="00B71515">
              <w:rPr>
                <w:rStyle w:val="Accentuation"/>
              </w:rPr>
              <w:t>Nombre de trafiquants arrêtés</w:t>
            </w:r>
          </w:p>
        </w:tc>
        <w:tc>
          <w:tcPr>
            <w:tcW w:w="4216" w:type="dxa"/>
          </w:tcPr>
          <w:p w14:paraId="79BF2C57" w14:textId="77777777" w:rsidR="00A42312" w:rsidRPr="008F54F9" w:rsidRDefault="003374BF" w:rsidP="007201E1">
            <w:pPr>
              <w:jc w:val="center"/>
              <w:rPr>
                <w:rStyle w:val="Accentuation"/>
                <w:iCs w:val="0"/>
              </w:rPr>
            </w:pPr>
            <w:r w:rsidRPr="008F54F9">
              <w:rPr>
                <w:rStyle w:val="Accentuation"/>
                <w:iCs w:val="0"/>
              </w:rPr>
              <w:t>0</w:t>
            </w:r>
            <w:r w:rsidR="008F54F9" w:rsidRPr="008F54F9">
              <w:rPr>
                <w:rStyle w:val="Accentuation"/>
                <w:iCs w:val="0"/>
              </w:rPr>
              <w:t>4</w:t>
            </w:r>
          </w:p>
        </w:tc>
      </w:tr>
    </w:tbl>
    <w:p w14:paraId="5F6749B3" w14:textId="77777777" w:rsidR="00A42312" w:rsidRPr="006216AF" w:rsidRDefault="00A42312" w:rsidP="00A42312">
      <w:pPr>
        <w:rPr>
          <w:lang w:eastAsia="fr-FR"/>
        </w:rPr>
      </w:pPr>
    </w:p>
    <w:p w14:paraId="791F0D34" w14:textId="77777777" w:rsidR="00C45AA1" w:rsidRDefault="008F54F9" w:rsidP="00A42312">
      <w:pPr>
        <w:jc w:val="both"/>
        <w:rPr>
          <w:lang w:val="fr-BE"/>
        </w:rPr>
      </w:pPr>
      <w:r w:rsidRPr="008F54F9">
        <w:rPr>
          <w:lang w:val="fr-BE"/>
        </w:rPr>
        <w:t>Une opération a été réalisée en date du 12</w:t>
      </w:r>
      <w:r>
        <w:rPr>
          <w:lang w:val="fr-BE"/>
        </w:rPr>
        <w:t xml:space="preserve"> novembre </w:t>
      </w:r>
      <w:r w:rsidRPr="008F54F9">
        <w:rPr>
          <w:lang w:val="fr-BE"/>
        </w:rPr>
        <w:t>2025 à Makokou ayant permis l’arrestation de quatre trafiquants d’ivoire avec quatorze (14) pointes d’ivoires.</w:t>
      </w:r>
      <w:r w:rsidR="00CF014E">
        <w:rPr>
          <w:lang w:val="fr-BE"/>
        </w:rPr>
        <w:t xml:space="preserve"> </w:t>
      </w:r>
    </w:p>
    <w:p w14:paraId="63521A2A" w14:textId="77777777" w:rsidR="00C45AA1" w:rsidRDefault="00C45AA1" w:rsidP="00A42312">
      <w:pPr>
        <w:jc w:val="both"/>
        <w:rPr>
          <w:lang w:val="fr-BE"/>
        </w:rPr>
      </w:pPr>
    </w:p>
    <w:p w14:paraId="18834E91" w14:textId="5C69BE10" w:rsidR="00A42312" w:rsidRDefault="00CF014E" w:rsidP="00A42312">
      <w:pPr>
        <w:jc w:val="both"/>
        <w:rPr>
          <w:lang w:val="fr-BE"/>
        </w:rPr>
      </w:pPr>
      <w:r>
        <w:rPr>
          <w:lang w:val="fr-BE"/>
        </w:rPr>
        <w:t xml:space="preserve">Cette arrestation </w:t>
      </w:r>
      <w:r w:rsidR="00C45AA1">
        <w:rPr>
          <w:lang w:val="fr-BE"/>
        </w:rPr>
        <w:t>a été menée par</w:t>
      </w:r>
      <w:r>
        <w:rPr>
          <w:lang w:val="fr-BE"/>
        </w:rPr>
        <w:t xml:space="preserve"> l’antenne provinciale de la police judiciaire</w:t>
      </w:r>
      <w:r w:rsidR="00D2097B">
        <w:rPr>
          <w:lang w:val="fr-BE"/>
        </w:rPr>
        <w:t xml:space="preserve"> et </w:t>
      </w:r>
      <w:r>
        <w:rPr>
          <w:lang w:val="fr-BE"/>
        </w:rPr>
        <w:t xml:space="preserve">l’administration des </w:t>
      </w:r>
      <w:r w:rsidR="00C45AA1">
        <w:rPr>
          <w:lang w:val="fr-BE"/>
        </w:rPr>
        <w:t>E</w:t>
      </w:r>
      <w:r>
        <w:rPr>
          <w:lang w:val="fr-BE"/>
        </w:rPr>
        <w:t xml:space="preserve">aux et </w:t>
      </w:r>
      <w:r w:rsidR="00C45AA1">
        <w:rPr>
          <w:lang w:val="fr-BE"/>
        </w:rPr>
        <w:t>F</w:t>
      </w:r>
      <w:r>
        <w:rPr>
          <w:lang w:val="fr-BE"/>
        </w:rPr>
        <w:t>orêts de l’Ogooué-Ivindo</w:t>
      </w:r>
      <w:r w:rsidR="00D2097B">
        <w:rPr>
          <w:lang w:val="fr-BE"/>
        </w:rPr>
        <w:t xml:space="preserve"> avec le soutien de l’ONG Conservation Justice. Le poids total </w:t>
      </w:r>
      <w:r w:rsidR="00C45AA1">
        <w:rPr>
          <w:lang w:val="fr-BE"/>
        </w:rPr>
        <w:t xml:space="preserve">d’ivoire saisi </w:t>
      </w:r>
      <w:r w:rsidR="00D2097B">
        <w:rPr>
          <w:lang w:val="fr-BE"/>
        </w:rPr>
        <w:t xml:space="preserve">est </w:t>
      </w:r>
      <w:r w:rsidR="00C45AA1">
        <w:rPr>
          <w:lang w:val="fr-BE"/>
        </w:rPr>
        <w:t xml:space="preserve">de </w:t>
      </w:r>
      <w:r w:rsidR="00D2097B">
        <w:rPr>
          <w:lang w:val="fr-BE"/>
        </w:rPr>
        <w:t>37,9 kg. Parmi les personnes interpellées</w:t>
      </w:r>
      <w:r w:rsidR="009C6ACC">
        <w:rPr>
          <w:lang w:val="fr-BE"/>
        </w:rPr>
        <w:t>, il</w:t>
      </w:r>
      <w:r w:rsidR="00D2097B">
        <w:rPr>
          <w:lang w:val="fr-BE"/>
        </w:rPr>
        <w:t xml:space="preserve"> figure un récidiviste</w:t>
      </w:r>
      <w:r w:rsidR="00C45AA1">
        <w:rPr>
          <w:lang w:val="fr-BE"/>
        </w:rPr>
        <w:t>,</w:t>
      </w:r>
      <w:r w:rsidR="00D2097B">
        <w:rPr>
          <w:lang w:val="fr-BE"/>
        </w:rPr>
        <w:t xml:space="preserve"> le nommé de IVARY Thierry. </w:t>
      </w:r>
    </w:p>
    <w:p w14:paraId="0069D1CB" w14:textId="77777777" w:rsidR="00D2097B" w:rsidRDefault="00D2097B" w:rsidP="00A42312">
      <w:pPr>
        <w:jc w:val="both"/>
        <w:rPr>
          <w:lang w:val="fr-BE"/>
        </w:rPr>
      </w:pPr>
    </w:p>
    <w:p w14:paraId="76A2064D" w14:textId="77777777" w:rsidR="00A751DA" w:rsidRPr="003736E3" w:rsidRDefault="00A751DA" w:rsidP="00A42312">
      <w:pPr>
        <w:jc w:val="both"/>
        <w:rPr>
          <w:rFonts w:ascii="Garamond" w:hAnsi="Garamond" w:cs="Calibri"/>
          <w:lang w:val="fr-BE"/>
        </w:rPr>
      </w:pPr>
    </w:p>
    <w:p w14:paraId="40D8A299" w14:textId="77777777" w:rsidR="00A42312" w:rsidRPr="00B71515" w:rsidRDefault="00A42312" w:rsidP="00A42312">
      <w:pPr>
        <w:pStyle w:val="Titre1"/>
        <w:shd w:val="clear" w:color="auto" w:fill="000000"/>
        <w:rPr>
          <w:rStyle w:val="Accentuation"/>
          <w:i w:val="0"/>
          <w:sz w:val="24"/>
        </w:rPr>
      </w:pPr>
      <w:bookmarkStart w:id="4" w:name="_Toc7774929"/>
      <w:r w:rsidRPr="00B71515">
        <w:rPr>
          <w:rStyle w:val="Accentuation"/>
          <w:sz w:val="24"/>
        </w:rPr>
        <w:t>Département juridique</w:t>
      </w:r>
      <w:bookmarkEnd w:id="4"/>
    </w:p>
    <w:p w14:paraId="51E29BBA" w14:textId="77777777" w:rsidR="00A42312" w:rsidRPr="003872FB" w:rsidRDefault="00A42312" w:rsidP="00A42312">
      <w:pPr>
        <w:jc w:val="both"/>
        <w:rPr>
          <w:rStyle w:val="Accentuation"/>
          <w:rFonts w:ascii="Garamond" w:hAnsi="Garamond" w:cs="Arial"/>
          <w:lang w:val="fr-BE"/>
        </w:rPr>
      </w:pPr>
    </w:p>
    <w:p w14:paraId="7D7D07BB" w14:textId="77777777" w:rsidR="00A42312" w:rsidRPr="002B238F" w:rsidRDefault="00A42312" w:rsidP="00A42312">
      <w:pPr>
        <w:spacing w:after="240"/>
        <w:jc w:val="both"/>
        <w:rPr>
          <w:rStyle w:val="Accentuation"/>
          <w:b/>
          <w:i w:val="0"/>
        </w:rPr>
      </w:pPr>
      <w:r w:rsidRPr="002B238F">
        <w:rPr>
          <w:rStyle w:val="Accentuation"/>
          <w:b/>
        </w:rPr>
        <w:t xml:space="preserve">4.1. Suivi des affaires </w:t>
      </w:r>
    </w:p>
    <w:p w14:paraId="409E96FB" w14:textId="77777777" w:rsidR="00A42312" w:rsidRPr="002B238F" w:rsidRDefault="00A42312" w:rsidP="00A42312">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42312" w:rsidRPr="002B238F" w14:paraId="2E0942FE" w14:textId="77777777" w:rsidTr="007201E1">
        <w:trPr>
          <w:jc w:val="center"/>
        </w:trPr>
        <w:tc>
          <w:tcPr>
            <w:tcW w:w="4644" w:type="dxa"/>
          </w:tcPr>
          <w:p w14:paraId="1F12F360" w14:textId="77777777" w:rsidR="00A42312" w:rsidRPr="002B238F" w:rsidRDefault="00A42312" w:rsidP="007201E1">
            <w:pPr>
              <w:jc w:val="both"/>
              <w:rPr>
                <w:rStyle w:val="Accentuation"/>
              </w:rPr>
            </w:pPr>
            <w:r w:rsidRPr="002B238F">
              <w:rPr>
                <w:rStyle w:val="Accentuation"/>
              </w:rPr>
              <w:t>Nombre d’affaires suivies</w:t>
            </w:r>
          </w:p>
        </w:tc>
        <w:tc>
          <w:tcPr>
            <w:tcW w:w="4200" w:type="dxa"/>
          </w:tcPr>
          <w:p w14:paraId="350F7BB3" w14:textId="77777777" w:rsidR="00A42312" w:rsidRPr="00865B19" w:rsidRDefault="00A42312" w:rsidP="007201E1">
            <w:pPr>
              <w:jc w:val="center"/>
              <w:rPr>
                <w:rStyle w:val="Accentuation"/>
              </w:rPr>
            </w:pPr>
            <w:r w:rsidRPr="00865B19">
              <w:rPr>
                <w:rStyle w:val="Accentuation"/>
              </w:rPr>
              <w:t xml:space="preserve"> 0</w:t>
            </w:r>
            <w:r w:rsidR="00865B19" w:rsidRPr="00865B19">
              <w:rPr>
                <w:rStyle w:val="Accentuation"/>
              </w:rPr>
              <w:t>2</w:t>
            </w:r>
          </w:p>
        </w:tc>
      </w:tr>
      <w:tr w:rsidR="00A42312" w:rsidRPr="002B238F" w14:paraId="6523739E" w14:textId="77777777" w:rsidTr="007201E1">
        <w:trPr>
          <w:jc w:val="center"/>
        </w:trPr>
        <w:tc>
          <w:tcPr>
            <w:tcW w:w="4644" w:type="dxa"/>
          </w:tcPr>
          <w:p w14:paraId="345BD042" w14:textId="77777777" w:rsidR="00A42312" w:rsidRPr="002B238F" w:rsidRDefault="00A42312" w:rsidP="007201E1">
            <w:pPr>
              <w:jc w:val="both"/>
              <w:rPr>
                <w:rStyle w:val="Accentuation"/>
              </w:rPr>
            </w:pPr>
            <w:r w:rsidRPr="002B238F">
              <w:rPr>
                <w:rStyle w:val="Accentuation"/>
              </w:rPr>
              <w:t>Nombre de condamnations</w:t>
            </w:r>
          </w:p>
        </w:tc>
        <w:tc>
          <w:tcPr>
            <w:tcW w:w="4200" w:type="dxa"/>
          </w:tcPr>
          <w:p w14:paraId="4151407B" w14:textId="77777777" w:rsidR="00A42312" w:rsidRPr="00865B19" w:rsidRDefault="00A42312" w:rsidP="007201E1">
            <w:pPr>
              <w:jc w:val="center"/>
              <w:rPr>
                <w:rStyle w:val="Accentuation"/>
                <w:color w:val="FF0000"/>
              </w:rPr>
            </w:pPr>
            <w:r w:rsidRPr="00865B19">
              <w:rPr>
                <w:rStyle w:val="Accentuation"/>
              </w:rPr>
              <w:t xml:space="preserve"> 0</w:t>
            </w:r>
            <w:r w:rsidR="00865B19" w:rsidRPr="00865B19">
              <w:rPr>
                <w:rStyle w:val="Accentuation"/>
              </w:rPr>
              <w:t>0</w:t>
            </w:r>
          </w:p>
        </w:tc>
      </w:tr>
      <w:tr w:rsidR="00A42312" w:rsidRPr="002B238F" w14:paraId="48CE2DA5" w14:textId="77777777" w:rsidTr="007201E1">
        <w:trPr>
          <w:jc w:val="center"/>
        </w:trPr>
        <w:tc>
          <w:tcPr>
            <w:tcW w:w="4644" w:type="dxa"/>
          </w:tcPr>
          <w:p w14:paraId="1C175270" w14:textId="77777777" w:rsidR="00A42312" w:rsidRPr="002B238F" w:rsidRDefault="00A42312" w:rsidP="007201E1">
            <w:pPr>
              <w:jc w:val="both"/>
              <w:rPr>
                <w:rStyle w:val="Accentuation"/>
              </w:rPr>
            </w:pPr>
            <w:r w:rsidRPr="002B238F">
              <w:rPr>
                <w:rStyle w:val="Accentuation"/>
              </w:rPr>
              <w:t>Affaires enregistrées</w:t>
            </w:r>
          </w:p>
        </w:tc>
        <w:tc>
          <w:tcPr>
            <w:tcW w:w="4200" w:type="dxa"/>
          </w:tcPr>
          <w:p w14:paraId="45C24497" w14:textId="77777777" w:rsidR="00A42312" w:rsidRPr="00865B19" w:rsidRDefault="00A42312" w:rsidP="007201E1">
            <w:pPr>
              <w:rPr>
                <w:rStyle w:val="Accentuation"/>
                <w:color w:val="FF0000"/>
              </w:rPr>
            </w:pPr>
            <w:r w:rsidRPr="00865B19">
              <w:rPr>
                <w:rStyle w:val="Accentuation"/>
              </w:rPr>
              <w:t xml:space="preserve">  </w:t>
            </w:r>
            <w:r w:rsidR="00F32BCE" w:rsidRPr="00865B19">
              <w:rPr>
                <w:rStyle w:val="Accentuation"/>
              </w:rPr>
              <w:t xml:space="preserve">                              0</w:t>
            </w:r>
            <w:r w:rsidR="00865B19" w:rsidRPr="00865B19">
              <w:rPr>
                <w:rStyle w:val="Accentuation"/>
              </w:rPr>
              <w:t>1</w:t>
            </w:r>
          </w:p>
        </w:tc>
      </w:tr>
      <w:tr w:rsidR="00A42312" w:rsidRPr="002B238F" w14:paraId="7D38D23C" w14:textId="77777777" w:rsidTr="007201E1">
        <w:trPr>
          <w:jc w:val="center"/>
        </w:trPr>
        <w:tc>
          <w:tcPr>
            <w:tcW w:w="4644" w:type="dxa"/>
          </w:tcPr>
          <w:p w14:paraId="28B9F626" w14:textId="77777777" w:rsidR="00A42312" w:rsidRPr="002B238F" w:rsidRDefault="00A42312" w:rsidP="007201E1">
            <w:pPr>
              <w:jc w:val="both"/>
              <w:rPr>
                <w:rStyle w:val="Accentuation"/>
              </w:rPr>
            </w:pPr>
            <w:r w:rsidRPr="002B238F">
              <w:rPr>
                <w:rStyle w:val="Accentuation"/>
              </w:rPr>
              <w:t>Nombre de prévenus</w:t>
            </w:r>
          </w:p>
        </w:tc>
        <w:tc>
          <w:tcPr>
            <w:tcW w:w="4200" w:type="dxa"/>
          </w:tcPr>
          <w:p w14:paraId="0124D62B" w14:textId="77777777" w:rsidR="00A42312" w:rsidRPr="00865B19" w:rsidRDefault="00F32BCE" w:rsidP="007201E1">
            <w:pPr>
              <w:jc w:val="center"/>
              <w:rPr>
                <w:rStyle w:val="Accentuation"/>
                <w:color w:val="FF0000"/>
              </w:rPr>
            </w:pPr>
            <w:r w:rsidRPr="00865B19">
              <w:rPr>
                <w:rStyle w:val="Accentuation"/>
              </w:rPr>
              <w:t xml:space="preserve"> 0</w:t>
            </w:r>
            <w:r w:rsidR="00865B19">
              <w:rPr>
                <w:rStyle w:val="Accentuation"/>
              </w:rPr>
              <w:t>7</w:t>
            </w:r>
          </w:p>
        </w:tc>
      </w:tr>
    </w:tbl>
    <w:p w14:paraId="07E644DB" w14:textId="77777777" w:rsidR="0085574D" w:rsidRDefault="0085574D" w:rsidP="00A42312">
      <w:pPr>
        <w:spacing w:line="276" w:lineRule="auto"/>
        <w:jc w:val="both"/>
        <w:rPr>
          <w:rFonts w:eastAsia="Calibri"/>
          <w:bCs/>
        </w:rPr>
      </w:pPr>
    </w:p>
    <w:p w14:paraId="27EC4AB8" w14:textId="77777777" w:rsidR="0085574D" w:rsidRDefault="0085574D" w:rsidP="00A42312">
      <w:pPr>
        <w:spacing w:line="276" w:lineRule="auto"/>
        <w:jc w:val="both"/>
        <w:rPr>
          <w:rFonts w:eastAsia="Calibri"/>
          <w:bCs/>
        </w:rPr>
      </w:pPr>
    </w:p>
    <w:p w14:paraId="2EFB416C" w14:textId="77777777" w:rsidR="004775BC" w:rsidRDefault="00C448ED" w:rsidP="00C448ED">
      <w:pPr>
        <w:spacing w:line="276" w:lineRule="auto"/>
        <w:jc w:val="center"/>
        <w:rPr>
          <w:rFonts w:eastAsia="Calibri"/>
          <w:bCs/>
        </w:rPr>
      </w:pPr>
      <w:r>
        <w:rPr>
          <w:rFonts w:eastAsia="Calibri"/>
          <w:bCs/>
        </w:rPr>
        <w:t>Devant la chambre correctionnelle spécialisée de la cour d’appel judiciaire de Libreville</w:t>
      </w:r>
    </w:p>
    <w:p w14:paraId="78099822" w14:textId="77777777" w:rsidR="00044A73" w:rsidRPr="00044A73" w:rsidRDefault="00044A73" w:rsidP="00044A73">
      <w:pPr>
        <w:pStyle w:val="Paragraphedeliste"/>
        <w:numPr>
          <w:ilvl w:val="0"/>
          <w:numId w:val="5"/>
        </w:numPr>
        <w:spacing w:line="276" w:lineRule="auto"/>
        <w:jc w:val="both"/>
        <w:rPr>
          <w:rFonts w:eastAsia="Calibri"/>
          <w:bCs/>
        </w:rPr>
      </w:pPr>
      <w:r w:rsidRPr="00044A73">
        <w:rPr>
          <w:rFonts w:eastAsia="Calibri"/>
          <w:bCs/>
        </w:rPr>
        <w:lastRenderedPageBreak/>
        <w:t>MP et eaux et forêts contre NTKOME ELLA &amp; ONDO ABESSOLO &amp; NDONG ONDO GALBERT</w:t>
      </w:r>
    </w:p>
    <w:p w14:paraId="231E50A2" w14:textId="77777777" w:rsidR="00044A73" w:rsidRPr="00044A73" w:rsidRDefault="00044A73" w:rsidP="00044A73">
      <w:pPr>
        <w:pStyle w:val="Paragraphedeliste"/>
        <w:spacing w:line="276" w:lineRule="auto"/>
        <w:jc w:val="both"/>
        <w:rPr>
          <w:rFonts w:eastAsia="Calibri"/>
          <w:bCs/>
        </w:rPr>
      </w:pPr>
    </w:p>
    <w:p w14:paraId="5D080921" w14:textId="19E214F7" w:rsidR="00044A73" w:rsidRPr="00044A73" w:rsidRDefault="00044A73" w:rsidP="00044A73">
      <w:pPr>
        <w:pStyle w:val="Paragraphedeliste"/>
        <w:spacing w:line="276" w:lineRule="auto"/>
        <w:ind w:left="0"/>
        <w:jc w:val="both"/>
        <w:rPr>
          <w:rFonts w:eastAsia="Calibri"/>
          <w:bCs/>
        </w:rPr>
      </w:pPr>
      <w:r w:rsidRPr="00044A73">
        <w:rPr>
          <w:rFonts w:eastAsia="Calibri"/>
          <w:bCs/>
        </w:rPr>
        <w:t xml:space="preserve">L’administration des </w:t>
      </w:r>
      <w:r w:rsidR="00C45AA1">
        <w:rPr>
          <w:rFonts w:eastAsia="Calibri"/>
          <w:bCs/>
        </w:rPr>
        <w:t>E</w:t>
      </w:r>
      <w:r w:rsidRPr="00044A73">
        <w:rPr>
          <w:rFonts w:eastAsia="Calibri"/>
          <w:bCs/>
        </w:rPr>
        <w:t xml:space="preserve">aux et des </w:t>
      </w:r>
      <w:r w:rsidR="00C45AA1">
        <w:rPr>
          <w:rFonts w:eastAsia="Calibri"/>
          <w:bCs/>
        </w:rPr>
        <w:t>F</w:t>
      </w:r>
      <w:r w:rsidRPr="00044A73">
        <w:rPr>
          <w:rFonts w:eastAsia="Calibri"/>
          <w:bCs/>
        </w:rPr>
        <w:t xml:space="preserve">orêts et l’antenne provinciale de Recherches du </w:t>
      </w:r>
      <w:proofErr w:type="spellStart"/>
      <w:r w:rsidRPr="00044A73">
        <w:rPr>
          <w:rFonts w:eastAsia="Calibri"/>
          <w:bCs/>
        </w:rPr>
        <w:t>Woleu-Ntem</w:t>
      </w:r>
      <w:proofErr w:type="spellEnd"/>
      <w:r w:rsidRPr="00044A73">
        <w:rPr>
          <w:rFonts w:eastAsia="Calibri"/>
          <w:bCs/>
        </w:rPr>
        <w:t xml:space="preserve"> appuyée par l’ONG Conservation Justice</w:t>
      </w:r>
      <w:r w:rsidR="00C45AA1">
        <w:rPr>
          <w:rFonts w:eastAsia="Calibri"/>
          <w:bCs/>
        </w:rPr>
        <w:t>,</w:t>
      </w:r>
      <w:r w:rsidRPr="00044A73">
        <w:rPr>
          <w:rFonts w:eastAsia="Calibri"/>
          <w:bCs/>
        </w:rPr>
        <w:t xml:space="preserve"> le vendredi 25 avril 2025, ont interpelé les nommés NDONG ONDO Galbert et NTOKOME ELLA François en possession de six (06) pointes d’ivoire d’éléphant entières, dans une structure hôtelière de la ville d’Oyem. Le poids est de 6,4 kilogrammes.</w:t>
      </w:r>
    </w:p>
    <w:p w14:paraId="18530C42" w14:textId="77777777" w:rsidR="00044A73" w:rsidRPr="00044A73" w:rsidRDefault="00044A73" w:rsidP="00044A73">
      <w:pPr>
        <w:pStyle w:val="Paragraphedeliste"/>
        <w:spacing w:line="276" w:lineRule="auto"/>
        <w:ind w:left="0"/>
        <w:jc w:val="both"/>
        <w:rPr>
          <w:rFonts w:eastAsia="Calibri"/>
          <w:bCs/>
        </w:rPr>
      </w:pPr>
    </w:p>
    <w:p w14:paraId="450A0E94" w14:textId="77777777" w:rsidR="00044A73" w:rsidRPr="00044A73" w:rsidRDefault="00044A73" w:rsidP="00044A73">
      <w:pPr>
        <w:pStyle w:val="Paragraphedeliste"/>
        <w:spacing w:line="276" w:lineRule="auto"/>
        <w:ind w:left="0"/>
        <w:jc w:val="both"/>
        <w:rPr>
          <w:rFonts w:eastAsia="Calibri"/>
          <w:bCs/>
        </w:rPr>
      </w:pPr>
      <w:r w:rsidRPr="00044A73">
        <w:rPr>
          <w:rFonts w:eastAsia="Calibri"/>
          <w:bCs/>
        </w:rPr>
        <w:t xml:space="preserve">NTOKOME ELLA François est le propriétaire de quatre (04) pointes d’ivoire parmi les six (06) pointes saisies par les agents. NDONG ONDO Galbert va citer le nom de ONDO ABESSOLO Guilin qui lui a demandé de récupérer deux (02) pointes d’ivoire chez sa belle-mère BA’A OLLOMO Pauline le 24 avril 2025. Les agents ont donc mis la main sur ONDO ABESSOLO Guilin. Dame BA’A OLLOMO Pauline belle-mère de sieur ONDO ABESSOLO Guilin s’est présentée le 26 avril 2025 à l’antenne DGR d’Oyem pour être entendue sur cette affaire. Dame BA’A OLLOMO Pauline a été laissée en liberté sous instruction du Procureur de la République du fait de son âge très avancé. </w:t>
      </w:r>
    </w:p>
    <w:p w14:paraId="2DDE0BFF" w14:textId="77777777" w:rsidR="00044A73" w:rsidRPr="00044A73" w:rsidRDefault="00044A73" w:rsidP="00044A73">
      <w:pPr>
        <w:pStyle w:val="Paragraphedeliste"/>
        <w:spacing w:line="276" w:lineRule="auto"/>
        <w:ind w:left="0"/>
        <w:jc w:val="both"/>
        <w:rPr>
          <w:rFonts w:eastAsia="Calibri"/>
          <w:bCs/>
        </w:rPr>
      </w:pPr>
    </w:p>
    <w:p w14:paraId="3A7F135F" w14:textId="77777777" w:rsidR="00044A73" w:rsidRPr="00044A73" w:rsidRDefault="00044A73" w:rsidP="00044A73">
      <w:pPr>
        <w:pStyle w:val="Paragraphedeliste"/>
        <w:spacing w:line="276" w:lineRule="auto"/>
        <w:ind w:left="0"/>
        <w:jc w:val="both"/>
        <w:rPr>
          <w:rFonts w:eastAsia="Calibri"/>
          <w:bCs/>
        </w:rPr>
      </w:pPr>
      <w:r w:rsidRPr="00044A73">
        <w:rPr>
          <w:rFonts w:eastAsia="Calibri"/>
          <w:bCs/>
        </w:rPr>
        <w:t xml:space="preserve">Le </w:t>
      </w:r>
      <w:r w:rsidR="006D4953" w:rsidRPr="00044A73">
        <w:rPr>
          <w:rFonts w:eastAsia="Calibri"/>
          <w:bCs/>
        </w:rPr>
        <w:t>déf</w:t>
      </w:r>
      <w:r w:rsidR="006D4953">
        <w:rPr>
          <w:rFonts w:eastAsia="Calibri"/>
          <w:bCs/>
        </w:rPr>
        <w:t>é</w:t>
      </w:r>
      <w:r w:rsidR="006D4953" w:rsidRPr="00044A73">
        <w:rPr>
          <w:rFonts w:eastAsia="Calibri"/>
          <w:bCs/>
        </w:rPr>
        <w:t>remment</w:t>
      </w:r>
      <w:r w:rsidRPr="00044A73">
        <w:rPr>
          <w:rFonts w:eastAsia="Calibri"/>
          <w:bCs/>
        </w:rPr>
        <w:t xml:space="preserve"> devant le parquet de la République de Libreville le mercredi 30 avril 2025. NTOKOME ELLA François, NDONG ONDO Galbert et ONDO ABESSOLO Guilin ont été déférés au parquet du Tribunal Spécial de Libreville. Le procureur a mis en liberté provisoire les mis en cause. </w:t>
      </w:r>
    </w:p>
    <w:p w14:paraId="38170645" w14:textId="77777777" w:rsidR="00044A73" w:rsidRPr="00044A73" w:rsidRDefault="00044A73" w:rsidP="00044A73">
      <w:pPr>
        <w:pStyle w:val="Paragraphedeliste"/>
        <w:spacing w:line="276" w:lineRule="auto"/>
        <w:ind w:left="0"/>
        <w:jc w:val="both"/>
        <w:rPr>
          <w:rFonts w:eastAsia="Calibri"/>
          <w:bCs/>
        </w:rPr>
      </w:pPr>
    </w:p>
    <w:p w14:paraId="665847FA" w14:textId="77777777" w:rsidR="00044A73" w:rsidRPr="00044A73" w:rsidRDefault="00044A73" w:rsidP="00044A73">
      <w:pPr>
        <w:pStyle w:val="Paragraphedeliste"/>
        <w:spacing w:line="276" w:lineRule="auto"/>
        <w:ind w:left="0"/>
        <w:jc w:val="both"/>
        <w:rPr>
          <w:rFonts w:eastAsia="Calibri"/>
          <w:bCs/>
        </w:rPr>
      </w:pPr>
      <w:r w:rsidRPr="00044A73">
        <w:rPr>
          <w:rFonts w:eastAsia="Calibri"/>
          <w:bCs/>
        </w:rPr>
        <w:t xml:space="preserve">L’audience du vendredi 04 juillet 2025 a vu ce dossier être plaidé et ensuite vidé le jour même. Le délibéré est intervenu sur le siège. Le tribunal déclare NDONG ONDO Galbert, NTOKOME ELLA François et ONDO ABESSOLO Guilin coupables des délits de détention illégale d'ivoire et tentative de vente de pointes d'ivoire. </w:t>
      </w:r>
    </w:p>
    <w:p w14:paraId="63CE2386" w14:textId="77777777" w:rsidR="00044A73" w:rsidRPr="00044A73" w:rsidRDefault="00044A73" w:rsidP="00044A73">
      <w:pPr>
        <w:pStyle w:val="Paragraphedeliste"/>
        <w:spacing w:line="276" w:lineRule="auto"/>
        <w:ind w:left="0"/>
        <w:jc w:val="both"/>
        <w:rPr>
          <w:rFonts w:eastAsia="Calibri"/>
          <w:bCs/>
        </w:rPr>
      </w:pPr>
    </w:p>
    <w:p w14:paraId="7635C67C" w14:textId="114B0DB7" w:rsidR="00044A73" w:rsidRPr="00044A73" w:rsidRDefault="00044A73" w:rsidP="00044A73">
      <w:pPr>
        <w:pStyle w:val="Paragraphedeliste"/>
        <w:spacing w:line="276" w:lineRule="auto"/>
        <w:ind w:left="0"/>
        <w:jc w:val="both"/>
        <w:rPr>
          <w:rFonts w:eastAsia="Calibri"/>
          <w:bCs/>
        </w:rPr>
      </w:pPr>
      <w:r w:rsidRPr="00044A73">
        <w:rPr>
          <w:rFonts w:eastAsia="Calibri"/>
          <w:bCs/>
        </w:rPr>
        <w:t xml:space="preserve">En répression, condamne NDONG ONDO Galbert et ONDO ABESSOLO Guilin à 18 mois de prison dont 08 assortis du sursis, et condamne NTOKOME ELLA François à 12 mois de prison dont 06 assortis du sursis et </w:t>
      </w:r>
      <w:r w:rsidR="003B3B10" w:rsidRPr="00044A73">
        <w:rPr>
          <w:rFonts w:eastAsia="Calibri"/>
          <w:bCs/>
        </w:rPr>
        <w:t>à</w:t>
      </w:r>
      <w:r w:rsidRPr="00044A73">
        <w:rPr>
          <w:rFonts w:eastAsia="Calibri"/>
          <w:bCs/>
        </w:rPr>
        <w:t xml:space="preserve"> une amende de 960 000 FCFA ; </w:t>
      </w:r>
    </w:p>
    <w:p w14:paraId="080C7817" w14:textId="77777777" w:rsidR="00044A73" w:rsidRPr="00044A73" w:rsidRDefault="00044A73" w:rsidP="00044A73">
      <w:pPr>
        <w:pStyle w:val="Paragraphedeliste"/>
        <w:spacing w:line="276" w:lineRule="auto"/>
        <w:ind w:left="0"/>
        <w:jc w:val="both"/>
        <w:rPr>
          <w:rFonts w:eastAsia="Calibri"/>
          <w:bCs/>
        </w:rPr>
      </w:pPr>
    </w:p>
    <w:p w14:paraId="6167B357" w14:textId="47ED841C" w:rsidR="00044A73" w:rsidRDefault="00044A73" w:rsidP="00044A73">
      <w:pPr>
        <w:pStyle w:val="Paragraphedeliste"/>
        <w:spacing w:line="276" w:lineRule="auto"/>
        <w:ind w:left="0"/>
        <w:jc w:val="both"/>
        <w:rPr>
          <w:rFonts w:eastAsia="Calibri"/>
          <w:bCs/>
        </w:rPr>
      </w:pPr>
      <w:r w:rsidRPr="00044A73">
        <w:rPr>
          <w:rFonts w:eastAsia="Calibri"/>
          <w:bCs/>
        </w:rPr>
        <w:t xml:space="preserve">Au fond, le tribunal condamne les mis en cause </w:t>
      </w:r>
      <w:r w:rsidR="00C45AA1">
        <w:rPr>
          <w:rFonts w:eastAsia="Calibri"/>
          <w:bCs/>
        </w:rPr>
        <w:t>à</w:t>
      </w:r>
      <w:r w:rsidRPr="00044A73">
        <w:rPr>
          <w:rFonts w:eastAsia="Calibri"/>
          <w:bCs/>
        </w:rPr>
        <w:t xml:space="preserve"> pay</w:t>
      </w:r>
      <w:r w:rsidR="00C45AA1">
        <w:rPr>
          <w:rFonts w:eastAsia="Calibri"/>
          <w:bCs/>
        </w:rPr>
        <w:t>er</w:t>
      </w:r>
      <w:r w:rsidRPr="00044A73">
        <w:rPr>
          <w:rFonts w:eastAsia="Calibri"/>
          <w:bCs/>
        </w:rPr>
        <w:t xml:space="preserve"> à la partie civile la somme de 3</w:t>
      </w:r>
      <w:r w:rsidR="00C45AA1">
        <w:rPr>
          <w:rFonts w:eastAsia="Calibri"/>
          <w:bCs/>
        </w:rPr>
        <w:t>.</w:t>
      </w:r>
      <w:r w:rsidRPr="00044A73">
        <w:rPr>
          <w:rFonts w:eastAsia="Calibri"/>
          <w:bCs/>
        </w:rPr>
        <w:t>000</w:t>
      </w:r>
      <w:r w:rsidR="00C45AA1">
        <w:rPr>
          <w:rFonts w:eastAsia="Calibri"/>
          <w:bCs/>
        </w:rPr>
        <w:t>.</w:t>
      </w:r>
      <w:r w:rsidRPr="00044A73">
        <w:rPr>
          <w:rFonts w:eastAsia="Calibri"/>
          <w:bCs/>
        </w:rPr>
        <w:t>000 FCA à titre de dommages et intérêts.  Le tribunal a décerné un mandat d’arrêt à chaque prévenu. Ordonne la mise à disposition du scellé objet de la présente procédure à l’administration compétente. Cette décision a été choquée d’appel par les prévenus.</w:t>
      </w:r>
    </w:p>
    <w:p w14:paraId="6257F828" w14:textId="77777777" w:rsidR="003B3B10" w:rsidRDefault="003B3B10" w:rsidP="00044A73">
      <w:pPr>
        <w:pStyle w:val="Paragraphedeliste"/>
        <w:spacing w:line="276" w:lineRule="auto"/>
        <w:ind w:left="0"/>
        <w:jc w:val="both"/>
        <w:rPr>
          <w:rFonts w:eastAsia="Calibri"/>
          <w:bCs/>
        </w:rPr>
      </w:pPr>
    </w:p>
    <w:p w14:paraId="63D7F16B" w14:textId="77777777" w:rsidR="00044A73" w:rsidRDefault="00D11511" w:rsidP="00044A73">
      <w:pPr>
        <w:pStyle w:val="Paragraphedeliste"/>
        <w:spacing w:line="276" w:lineRule="auto"/>
        <w:ind w:left="0"/>
        <w:jc w:val="both"/>
        <w:rPr>
          <w:rFonts w:eastAsia="Calibri"/>
          <w:bCs/>
        </w:rPr>
      </w:pPr>
      <w:r w:rsidRPr="00D11511">
        <w:rPr>
          <w:rFonts w:eastAsia="Calibri"/>
          <w:bCs/>
        </w:rPr>
        <w:t>Devant la chambre correctionnelle spécialisée de la Cour d’appel Judiciaire de Libreville. Le 28 novembre 2025, l’affaire a appelée par la cour qui a accordé un renvoi sollicité par le parquet général. Le dossier a été renvoyé le 12 décembre 2025 pour citation de la partie appelante absente à l’audience car les mis en cause n’ont pas été extraits de la prison centrale de Libreville pour la cour.</w:t>
      </w:r>
    </w:p>
    <w:p w14:paraId="6E557C5F" w14:textId="77777777" w:rsidR="00C448ED" w:rsidRDefault="00C448ED" w:rsidP="00044A73">
      <w:pPr>
        <w:pStyle w:val="Paragraphedeliste"/>
        <w:spacing w:line="276" w:lineRule="auto"/>
        <w:ind w:left="-12"/>
        <w:jc w:val="both"/>
        <w:rPr>
          <w:rFonts w:eastAsia="Calibri"/>
          <w:bCs/>
        </w:rPr>
      </w:pPr>
    </w:p>
    <w:p w14:paraId="609134EE" w14:textId="77777777" w:rsidR="00C448ED" w:rsidRDefault="00C448ED" w:rsidP="00044A73">
      <w:pPr>
        <w:pStyle w:val="Paragraphedeliste"/>
        <w:spacing w:line="276" w:lineRule="auto"/>
        <w:ind w:left="-12"/>
        <w:jc w:val="both"/>
        <w:rPr>
          <w:rFonts w:eastAsia="Calibri"/>
          <w:bCs/>
        </w:rPr>
      </w:pPr>
    </w:p>
    <w:p w14:paraId="3DA8885F" w14:textId="77777777" w:rsidR="00044A73" w:rsidRDefault="00C448ED" w:rsidP="00C448ED">
      <w:pPr>
        <w:pStyle w:val="Paragraphedeliste"/>
        <w:spacing w:line="276" w:lineRule="auto"/>
        <w:ind w:left="-12"/>
        <w:jc w:val="center"/>
        <w:rPr>
          <w:rFonts w:eastAsia="Calibri"/>
          <w:bCs/>
        </w:rPr>
      </w:pPr>
      <w:r w:rsidRPr="00C448ED">
        <w:rPr>
          <w:rFonts w:eastAsia="Calibri"/>
          <w:bCs/>
        </w:rPr>
        <w:lastRenderedPageBreak/>
        <w:t>Devant le parquet et le Tribunal</w:t>
      </w:r>
      <w:r>
        <w:rPr>
          <w:rFonts w:eastAsia="Calibri"/>
          <w:bCs/>
        </w:rPr>
        <w:t xml:space="preserve"> de Libreville en sa formation</w:t>
      </w:r>
      <w:r w:rsidRPr="00C448ED">
        <w:rPr>
          <w:rFonts w:eastAsia="Calibri"/>
          <w:bCs/>
        </w:rPr>
        <w:t xml:space="preserve"> spécialisé</w:t>
      </w:r>
      <w:r>
        <w:rPr>
          <w:rFonts w:eastAsia="Calibri"/>
          <w:bCs/>
        </w:rPr>
        <w:t>e</w:t>
      </w:r>
    </w:p>
    <w:p w14:paraId="05846C4C" w14:textId="77777777" w:rsidR="00C448ED" w:rsidRDefault="00C448ED" w:rsidP="00044A73">
      <w:pPr>
        <w:pStyle w:val="Paragraphedeliste"/>
        <w:spacing w:line="276" w:lineRule="auto"/>
        <w:ind w:left="-12"/>
        <w:jc w:val="both"/>
        <w:rPr>
          <w:rFonts w:eastAsia="Calibri"/>
          <w:bCs/>
        </w:rPr>
      </w:pPr>
    </w:p>
    <w:p w14:paraId="443B5389" w14:textId="77777777" w:rsidR="00C448ED" w:rsidRDefault="00C448ED" w:rsidP="00044A73">
      <w:pPr>
        <w:pStyle w:val="Paragraphedeliste"/>
        <w:spacing w:line="276" w:lineRule="auto"/>
        <w:ind w:left="-12"/>
        <w:jc w:val="both"/>
        <w:rPr>
          <w:rFonts w:eastAsia="Calibri"/>
          <w:bCs/>
        </w:rPr>
      </w:pPr>
    </w:p>
    <w:p w14:paraId="330083E4" w14:textId="77777777" w:rsidR="0023412B" w:rsidRDefault="0023412B" w:rsidP="00044A73">
      <w:pPr>
        <w:pStyle w:val="Paragraphedeliste"/>
        <w:numPr>
          <w:ilvl w:val="0"/>
          <w:numId w:val="5"/>
        </w:numPr>
        <w:spacing w:line="276" w:lineRule="auto"/>
        <w:jc w:val="both"/>
        <w:rPr>
          <w:rFonts w:eastAsia="Calibri"/>
          <w:bCs/>
        </w:rPr>
      </w:pPr>
      <w:r w:rsidRPr="0023412B">
        <w:rPr>
          <w:rFonts w:eastAsia="Calibri"/>
          <w:bCs/>
        </w:rPr>
        <w:t xml:space="preserve">MP &amp; eaux et forêts contre BOLONDO Jean Paul, ENDOUANDOUAH Hervé, METANGAMA Jeff Armand et IVARY Thierry (récidiviste) </w:t>
      </w:r>
    </w:p>
    <w:p w14:paraId="35D0827E" w14:textId="77777777" w:rsidR="00044A73" w:rsidRPr="00044A73" w:rsidRDefault="00044A73" w:rsidP="00044A73">
      <w:pPr>
        <w:spacing w:line="276" w:lineRule="auto"/>
        <w:ind w:left="360"/>
        <w:jc w:val="both"/>
        <w:rPr>
          <w:rFonts w:eastAsia="Calibri"/>
          <w:bCs/>
        </w:rPr>
      </w:pPr>
    </w:p>
    <w:p w14:paraId="1B2AEC40" w14:textId="77777777" w:rsidR="0023412B" w:rsidRPr="0023412B" w:rsidRDefault="0023412B" w:rsidP="0023412B">
      <w:pPr>
        <w:spacing w:line="276" w:lineRule="auto"/>
        <w:jc w:val="both"/>
        <w:rPr>
          <w:rFonts w:eastAsia="Calibri"/>
          <w:bCs/>
        </w:rPr>
      </w:pPr>
      <w:r w:rsidRPr="0023412B">
        <w:rPr>
          <w:rFonts w:eastAsia="Calibri"/>
          <w:bCs/>
        </w:rPr>
        <w:t>Une opération de lutte contre le trafic d'ivoire a abouti à l'interpellation de quatre individus et la saisie de quatorze (14) pointes d'ivoire dont 4 sectionnées en morceaux</w:t>
      </w:r>
      <w:r>
        <w:rPr>
          <w:rFonts w:eastAsia="Calibri"/>
          <w:bCs/>
        </w:rPr>
        <w:t xml:space="preserve"> le 12 novembre 2025</w:t>
      </w:r>
      <w:r w:rsidRPr="0023412B">
        <w:rPr>
          <w:rFonts w:eastAsia="Calibri"/>
          <w:bCs/>
        </w:rPr>
        <w:t>. Le poids total est de 37,9 kg.</w:t>
      </w:r>
      <w:r>
        <w:rPr>
          <w:rFonts w:eastAsia="Calibri"/>
          <w:bCs/>
        </w:rPr>
        <w:t xml:space="preserve"> </w:t>
      </w:r>
    </w:p>
    <w:p w14:paraId="58B609DF" w14:textId="77777777" w:rsidR="0023412B" w:rsidRPr="0023412B" w:rsidRDefault="0023412B" w:rsidP="0023412B">
      <w:pPr>
        <w:spacing w:line="276" w:lineRule="auto"/>
        <w:ind w:left="360"/>
        <w:jc w:val="both"/>
        <w:rPr>
          <w:rFonts w:eastAsia="Calibri"/>
          <w:bCs/>
        </w:rPr>
      </w:pPr>
    </w:p>
    <w:p w14:paraId="5AA599CF" w14:textId="77777777" w:rsidR="0023412B" w:rsidRDefault="0023412B" w:rsidP="0023412B">
      <w:pPr>
        <w:spacing w:line="276" w:lineRule="auto"/>
        <w:jc w:val="both"/>
        <w:rPr>
          <w:rFonts w:eastAsia="Calibri"/>
          <w:bCs/>
        </w:rPr>
      </w:pPr>
      <w:r w:rsidRPr="0023412B">
        <w:rPr>
          <w:rFonts w:eastAsia="Calibri"/>
          <w:bCs/>
        </w:rPr>
        <w:t>Ce résultat a été rendu possible par les efforts conjugués des agents de la Direction Provinciale des Eaux et Forêts de L'Ogooué-Ivindo et ceux de l'antenne de Police Judiciaire de L'Ogooué -Ivindo avec le soutien de l'O</w:t>
      </w:r>
      <w:r>
        <w:rPr>
          <w:rFonts w:eastAsia="Calibri"/>
          <w:bCs/>
        </w:rPr>
        <w:t>N</w:t>
      </w:r>
      <w:r w:rsidRPr="0023412B">
        <w:rPr>
          <w:rFonts w:eastAsia="Calibri"/>
          <w:bCs/>
        </w:rPr>
        <w:t>G Conservation Justice.</w:t>
      </w:r>
      <w:r w:rsidR="003B3B10">
        <w:rPr>
          <w:rFonts w:eastAsia="Calibri"/>
          <w:bCs/>
        </w:rPr>
        <w:t xml:space="preserve"> Déférés devant le parquet le 19 novembre, les mis en cause ont été inculpés et placés sous mandat de dépôt.  </w:t>
      </w:r>
    </w:p>
    <w:p w14:paraId="1E0A8653" w14:textId="77777777" w:rsidR="0023412B" w:rsidRDefault="0023412B" w:rsidP="0023412B">
      <w:pPr>
        <w:spacing w:line="276" w:lineRule="auto"/>
        <w:ind w:left="360"/>
        <w:jc w:val="both"/>
        <w:rPr>
          <w:rFonts w:eastAsia="Calibri"/>
          <w:bCs/>
        </w:rPr>
      </w:pPr>
    </w:p>
    <w:p w14:paraId="14CFD5C1" w14:textId="77777777" w:rsidR="00044A73" w:rsidRDefault="00044A73" w:rsidP="0023412B">
      <w:pPr>
        <w:spacing w:line="276" w:lineRule="auto"/>
        <w:jc w:val="both"/>
        <w:rPr>
          <w:rFonts w:eastAsia="Calibri"/>
          <w:bCs/>
        </w:rPr>
      </w:pPr>
      <w:r>
        <w:rPr>
          <w:rFonts w:eastAsia="Calibri"/>
          <w:bCs/>
        </w:rPr>
        <w:t>Audiences. L’affaire programmée pour passer à l’audience correctionnelle du Tribunal spécial</w:t>
      </w:r>
      <w:r w:rsidR="003B3B10">
        <w:rPr>
          <w:rFonts w:eastAsia="Calibri"/>
          <w:bCs/>
        </w:rPr>
        <w:t xml:space="preserve"> </w:t>
      </w:r>
      <w:r>
        <w:rPr>
          <w:rFonts w:eastAsia="Calibri"/>
          <w:bCs/>
        </w:rPr>
        <w:t>le 28 décembre 2025 n’est plus passée car l’audience a été reportée à une date ultérieure (</w:t>
      </w:r>
      <w:r w:rsidR="00865B19">
        <w:rPr>
          <w:rFonts w:eastAsia="Calibri"/>
          <w:bCs/>
        </w:rPr>
        <w:t>date non</w:t>
      </w:r>
      <w:r>
        <w:rPr>
          <w:rFonts w:eastAsia="Calibri"/>
          <w:bCs/>
        </w:rPr>
        <w:t xml:space="preserve"> déterminée) car les magistrats étaient en séminaire.   </w:t>
      </w:r>
    </w:p>
    <w:p w14:paraId="0447F80D" w14:textId="77777777" w:rsidR="0023412B" w:rsidRPr="0023412B" w:rsidRDefault="0023412B" w:rsidP="0023412B">
      <w:pPr>
        <w:spacing w:line="276" w:lineRule="auto"/>
        <w:jc w:val="both"/>
        <w:rPr>
          <w:rFonts w:eastAsia="Calibri"/>
          <w:bCs/>
        </w:rPr>
      </w:pPr>
    </w:p>
    <w:p w14:paraId="5803C145" w14:textId="77777777" w:rsidR="00A42312" w:rsidRPr="002B238F" w:rsidRDefault="00A42312" w:rsidP="004775BC">
      <w:pPr>
        <w:tabs>
          <w:tab w:val="right" w:pos="9072"/>
        </w:tabs>
        <w:spacing w:before="120" w:after="120" w:line="276" w:lineRule="auto"/>
        <w:jc w:val="both"/>
        <w:rPr>
          <w:rStyle w:val="Accentuation"/>
          <w:b/>
          <w:i w:val="0"/>
        </w:rPr>
      </w:pPr>
      <w:bookmarkStart w:id="5" w:name="_Toc7774930"/>
      <w:r w:rsidRPr="002B238F">
        <w:rPr>
          <w:rStyle w:val="Accentuation"/>
          <w:b/>
        </w:rPr>
        <w:t>4.2. Visites de prison</w:t>
      </w:r>
      <w:r w:rsidR="004775BC">
        <w:rPr>
          <w:rStyle w:val="Accentuation"/>
          <w:b/>
        </w:rPr>
        <w:tab/>
      </w:r>
    </w:p>
    <w:p w14:paraId="231A56E6" w14:textId="77777777" w:rsidR="00A42312" w:rsidRPr="002B238F" w:rsidRDefault="00A42312" w:rsidP="00A42312">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42312" w:rsidRPr="002B238F" w14:paraId="348B9977" w14:textId="77777777" w:rsidTr="007201E1">
        <w:trPr>
          <w:trHeight w:val="262"/>
        </w:trPr>
        <w:tc>
          <w:tcPr>
            <w:tcW w:w="4531" w:type="dxa"/>
          </w:tcPr>
          <w:p w14:paraId="44847F6F" w14:textId="77777777" w:rsidR="00A42312" w:rsidRPr="002B238F" w:rsidRDefault="00A42312" w:rsidP="007201E1">
            <w:pPr>
              <w:jc w:val="both"/>
              <w:rPr>
                <w:rStyle w:val="Accentuation"/>
                <w:i w:val="0"/>
              </w:rPr>
            </w:pPr>
            <w:r w:rsidRPr="002B238F">
              <w:rPr>
                <w:rStyle w:val="Accentuation"/>
              </w:rPr>
              <w:t>Nombre de visites effectuées</w:t>
            </w:r>
          </w:p>
        </w:tc>
        <w:tc>
          <w:tcPr>
            <w:tcW w:w="4677" w:type="dxa"/>
          </w:tcPr>
          <w:p w14:paraId="2A19A2E9" w14:textId="77777777" w:rsidR="00A42312" w:rsidRPr="002B238F" w:rsidRDefault="0085574D" w:rsidP="007201E1">
            <w:pPr>
              <w:jc w:val="center"/>
              <w:rPr>
                <w:rStyle w:val="Accentuation"/>
                <w:i w:val="0"/>
              </w:rPr>
            </w:pPr>
            <w:r>
              <w:rPr>
                <w:rStyle w:val="Accentuation"/>
              </w:rPr>
              <w:t>00</w:t>
            </w:r>
          </w:p>
        </w:tc>
      </w:tr>
      <w:tr w:rsidR="00A42312" w:rsidRPr="002B238F" w14:paraId="03F33671" w14:textId="77777777" w:rsidTr="007201E1">
        <w:trPr>
          <w:trHeight w:val="262"/>
        </w:trPr>
        <w:tc>
          <w:tcPr>
            <w:tcW w:w="4531" w:type="dxa"/>
          </w:tcPr>
          <w:p w14:paraId="6A8B3562" w14:textId="77777777" w:rsidR="00A42312" w:rsidRPr="002B238F" w:rsidRDefault="00A42312" w:rsidP="007201E1">
            <w:pPr>
              <w:jc w:val="both"/>
              <w:rPr>
                <w:rStyle w:val="Accentuation"/>
                <w:i w:val="0"/>
              </w:rPr>
            </w:pPr>
            <w:r w:rsidRPr="002B238F">
              <w:rPr>
                <w:rStyle w:val="Accentuation"/>
              </w:rPr>
              <w:t>Nombre de détenus rencontrés</w:t>
            </w:r>
          </w:p>
        </w:tc>
        <w:tc>
          <w:tcPr>
            <w:tcW w:w="4677" w:type="dxa"/>
          </w:tcPr>
          <w:p w14:paraId="798BD18E" w14:textId="77777777" w:rsidR="00A42312" w:rsidRPr="002B238F" w:rsidRDefault="0085574D" w:rsidP="007201E1">
            <w:pPr>
              <w:jc w:val="center"/>
              <w:rPr>
                <w:rStyle w:val="Accentuation"/>
                <w:i w:val="0"/>
              </w:rPr>
            </w:pPr>
            <w:r>
              <w:rPr>
                <w:rStyle w:val="Accentuation"/>
              </w:rPr>
              <w:t>00</w:t>
            </w:r>
          </w:p>
        </w:tc>
      </w:tr>
    </w:tbl>
    <w:p w14:paraId="247C3849" w14:textId="77777777" w:rsidR="00A42312" w:rsidRPr="002B238F" w:rsidRDefault="00A42312" w:rsidP="00A42312">
      <w:pPr>
        <w:jc w:val="both"/>
        <w:rPr>
          <w:rStyle w:val="Accentuation"/>
        </w:rPr>
      </w:pPr>
    </w:p>
    <w:p w14:paraId="4C881AF1" w14:textId="77777777" w:rsidR="00A42312" w:rsidRDefault="00A42312" w:rsidP="00A42312">
      <w:pPr>
        <w:jc w:val="both"/>
        <w:rPr>
          <w:rFonts w:eastAsia="Calibri"/>
          <w:bCs/>
        </w:rPr>
      </w:pPr>
      <w:r>
        <w:rPr>
          <w:rFonts w:eastAsia="Calibri"/>
          <w:bCs/>
        </w:rPr>
        <w:t xml:space="preserve">Au cours </w:t>
      </w:r>
      <w:r w:rsidR="0085574D">
        <w:rPr>
          <w:rFonts w:eastAsia="Calibri"/>
          <w:bCs/>
        </w:rPr>
        <w:t xml:space="preserve">de ce </w:t>
      </w:r>
      <w:r w:rsidR="006D4953">
        <w:rPr>
          <w:rFonts w:eastAsia="Calibri"/>
          <w:bCs/>
        </w:rPr>
        <w:t>mois, il</w:t>
      </w:r>
      <w:r w:rsidR="0085574D">
        <w:rPr>
          <w:rFonts w:eastAsia="Calibri"/>
          <w:bCs/>
        </w:rPr>
        <w:t xml:space="preserve"> n’y a pas eu de visites de prison</w:t>
      </w:r>
      <w:r w:rsidR="0066380B">
        <w:rPr>
          <w:rFonts w:eastAsia="Calibri"/>
          <w:bCs/>
        </w:rPr>
        <w:t>.</w:t>
      </w:r>
    </w:p>
    <w:p w14:paraId="1C7E61E6" w14:textId="77777777" w:rsidR="00A42312" w:rsidRDefault="00A42312" w:rsidP="00A42312">
      <w:pPr>
        <w:jc w:val="both"/>
        <w:rPr>
          <w:rStyle w:val="Accentuation"/>
          <w:b/>
        </w:rPr>
      </w:pPr>
    </w:p>
    <w:p w14:paraId="377E7FEF" w14:textId="77777777" w:rsidR="00356B90" w:rsidRPr="00675D22" w:rsidRDefault="00356B90" w:rsidP="00A42312">
      <w:pPr>
        <w:jc w:val="both"/>
        <w:rPr>
          <w:i/>
          <w:iCs/>
          <w:color w:val="FF0000"/>
        </w:rPr>
      </w:pPr>
    </w:p>
    <w:p w14:paraId="0AFEC354" w14:textId="77777777" w:rsidR="00A42312" w:rsidRPr="00A751DA" w:rsidRDefault="00A42312" w:rsidP="00A42312">
      <w:pPr>
        <w:pStyle w:val="Titre1"/>
        <w:shd w:val="clear" w:color="auto" w:fill="000000"/>
        <w:jc w:val="both"/>
        <w:rPr>
          <w:rStyle w:val="Accentuation"/>
          <w:i w:val="0"/>
          <w:sz w:val="24"/>
        </w:rPr>
      </w:pPr>
      <w:r w:rsidRPr="00A751DA">
        <w:rPr>
          <w:rStyle w:val="Accentuation"/>
          <w:sz w:val="24"/>
        </w:rPr>
        <w:t>Communication</w:t>
      </w:r>
      <w:bookmarkEnd w:id="5"/>
    </w:p>
    <w:p w14:paraId="6A981646" w14:textId="77777777" w:rsidR="00A42312" w:rsidRPr="00A751DA" w:rsidRDefault="00A42312" w:rsidP="00A42312">
      <w:pPr>
        <w:jc w:val="both"/>
        <w:rPr>
          <w:rStyle w:val="Accentuation"/>
          <w:i w:val="0"/>
        </w:rPr>
      </w:pPr>
    </w:p>
    <w:p w14:paraId="679B7470" w14:textId="77777777" w:rsidR="00A42312" w:rsidRPr="009C6ACC" w:rsidRDefault="00A42312" w:rsidP="009C6ACC">
      <w:pPr>
        <w:spacing w:after="240"/>
        <w:jc w:val="both"/>
        <w:rPr>
          <w:rStyle w:val="Accentuation"/>
          <w:b/>
          <w:i w:val="0"/>
        </w:rPr>
      </w:pPr>
      <w:r w:rsidRPr="00A751DA">
        <w:rPr>
          <w:rStyle w:val="Accentuation"/>
          <w:b/>
          <w:i w:val="0"/>
        </w:rPr>
        <w:t>Indicateur :</w:t>
      </w:r>
    </w:p>
    <w:p w14:paraId="51CED3F0" w14:textId="77777777" w:rsidR="00A42312" w:rsidRPr="00A751DA" w:rsidRDefault="00A42312" w:rsidP="00A42312">
      <w:pPr>
        <w:jc w:val="both"/>
        <w:rPr>
          <w:rStyle w:val="Accentuation"/>
          <w:i w:val="0"/>
        </w:rPr>
      </w:pPr>
    </w:p>
    <w:tbl>
      <w:tblPr>
        <w:tblStyle w:val="Grilledetableauclaire1"/>
        <w:tblW w:w="8897" w:type="dxa"/>
        <w:tblLook w:val="04A0" w:firstRow="1" w:lastRow="0" w:firstColumn="1" w:lastColumn="0" w:noHBand="0" w:noVBand="1"/>
      </w:tblPr>
      <w:tblGrid>
        <w:gridCol w:w="4606"/>
        <w:gridCol w:w="4291"/>
      </w:tblGrid>
      <w:tr w:rsidR="00A751DA" w:rsidRPr="00A751DA" w14:paraId="3DF1A888" w14:textId="77777777" w:rsidTr="007201E1">
        <w:trPr>
          <w:trHeight w:val="81"/>
        </w:trPr>
        <w:tc>
          <w:tcPr>
            <w:tcW w:w="4606" w:type="dxa"/>
          </w:tcPr>
          <w:p w14:paraId="06A58392" w14:textId="77777777" w:rsidR="00A42312" w:rsidRPr="00A751DA" w:rsidRDefault="00A42312" w:rsidP="007201E1">
            <w:pPr>
              <w:jc w:val="both"/>
              <w:rPr>
                <w:rStyle w:val="Accentuation"/>
                <w:i w:val="0"/>
              </w:rPr>
            </w:pPr>
            <w:r w:rsidRPr="00A751DA">
              <w:rPr>
                <w:rStyle w:val="Accentuation"/>
                <w:i w:val="0"/>
              </w:rPr>
              <w:t>Nombre de pièces publiées</w:t>
            </w:r>
          </w:p>
        </w:tc>
        <w:tc>
          <w:tcPr>
            <w:tcW w:w="4291" w:type="dxa"/>
          </w:tcPr>
          <w:p w14:paraId="16B5224D" w14:textId="77777777" w:rsidR="00A42312" w:rsidRPr="00A751DA" w:rsidRDefault="00CF014E" w:rsidP="007201E1">
            <w:pPr>
              <w:jc w:val="center"/>
              <w:rPr>
                <w:rStyle w:val="Accentuation"/>
                <w:i w:val="0"/>
              </w:rPr>
            </w:pPr>
            <w:r>
              <w:rPr>
                <w:rStyle w:val="Accentuation"/>
                <w:i w:val="0"/>
              </w:rPr>
              <w:t>25</w:t>
            </w:r>
          </w:p>
        </w:tc>
      </w:tr>
      <w:tr w:rsidR="00A751DA" w:rsidRPr="00A751DA" w14:paraId="71F77726" w14:textId="77777777" w:rsidTr="007201E1">
        <w:trPr>
          <w:trHeight w:val="272"/>
        </w:trPr>
        <w:tc>
          <w:tcPr>
            <w:tcW w:w="4606" w:type="dxa"/>
          </w:tcPr>
          <w:p w14:paraId="7ADB4AF6" w14:textId="77777777" w:rsidR="00A42312" w:rsidRPr="00A751DA" w:rsidRDefault="00A42312" w:rsidP="007201E1">
            <w:pPr>
              <w:jc w:val="both"/>
              <w:rPr>
                <w:rStyle w:val="Accentuation"/>
                <w:i w:val="0"/>
              </w:rPr>
            </w:pPr>
            <w:r w:rsidRPr="00A751DA">
              <w:rPr>
                <w:rStyle w:val="Accentuation"/>
                <w:i w:val="0"/>
              </w:rPr>
              <w:t>Télévision</w:t>
            </w:r>
          </w:p>
        </w:tc>
        <w:tc>
          <w:tcPr>
            <w:tcW w:w="4291" w:type="dxa"/>
          </w:tcPr>
          <w:p w14:paraId="49D7AC3D" w14:textId="77777777" w:rsidR="00A42312" w:rsidRPr="00A751DA" w:rsidRDefault="00A42312" w:rsidP="007201E1">
            <w:pPr>
              <w:jc w:val="center"/>
              <w:rPr>
                <w:rStyle w:val="Accentuation"/>
                <w:i w:val="0"/>
              </w:rPr>
            </w:pPr>
            <w:r w:rsidRPr="00A751DA">
              <w:rPr>
                <w:rStyle w:val="Accentuation"/>
                <w:i w:val="0"/>
              </w:rPr>
              <w:t>0</w:t>
            </w:r>
            <w:r w:rsidR="00CF014E">
              <w:rPr>
                <w:rStyle w:val="Accentuation"/>
                <w:i w:val="0"/>
              </w:rPr>
              <w:t>3</w:t>
            </w:r>
          </w:p>
        </w:tc>
      </w:tr>
      <w:tr w:rsidR="00A751DA" w:rsidRPr="00A751DA" w14:paraId="77FEB5E4" w14:textId="77777777" w:rsidTr="007201E1">
        <w:trPr>
          <w:trHeight w:val="272"/>
        </w:trPr>
        <w:tc>
          <w:tcPr>
            <w:tcW w:w="4606" w:type="dxa"/>
          </w:tcPr>
          <w:p w14:paraId="3DA2E896" w14:textId="77777777" w:rsidR="00A42312" w:rsidRPr="00A751DA" w:rsidRDefault="00A42312" w:rsidP="007201E1">
            <w:pPr>
              <w:jc w:val="both"/>
              <w:rPr>
                <w:rStyle w:val="Accentuation"/>
                <w:i w:val="0"/>
              </w:rPr>
            </w:pPr>
            <w:r w:rsidRPr="00A751DA">
              <w:rPr>
                <w:rStyle w:val="Accentuation"/>
                <w:i w:val="0"/>
              </w:rPr>
              <w:t>Internet</w:t>
            </w:r>
          </w:p>
        </w:tc>
        <w:tc>
          <w:tcPr>
            <w:tcW w:w="4291" w:type="dxa"/>
          </w:tcPr>
          <w:p w14:paraId="2DC19F08" w14:textId="77777777" w:rsidR="00A42312" w:rsidRPr="00A751DA" w:rsidRDefault="00CF014E" w:rsidP="007201E1">
            <w:pPr>
              <w:jc w:val="center"/>
              <w:rPr>
                <w:rStyle w:val="Accentuation"/>
                <w:i w:val="0"/>
              </w:rPr>
            </w:pPr>
            <w:r>
              <w:rPr>
                <w:rStyle w:val="Accentuation"/>
                <w:i w:val="0"/>
              </w:rPr>
              <w:t>12</w:t>
            </w:r>
          </w:p>
        </w:tc>
      </w:tr>
      <w:tr w:rsidR="00A751DA" w:rsidRPr="00A751DA" w14:paraId="7D0C4C3F" w14:textId="77777777" w:rsidTr="007201E1">
        <w:trPr>
          <w:trHeight w:val="272"/>
        </w:trPr>
        <w:tc>
          <w:tcPr>
            <w:tcW w:w="4606" w:type="dxa"/>
          </w:tcPr>
          <w:p w14:paraId="0194F0AE" w14:textId="77777777" w:rsidR="00A42312" w:rsidRPr="00A751DA" w:rsidRDefault="00A42312" w:rsidP="007201E1">
            <w:pPr>
              <w:jc w:val="both"/>
              <w:rPr>
                <w:rStyle w:val="Accentuation"/>
                <w:i w:val="0"/>
              </w:rPr>
            </w:pPr>
            <w:r w:rsidRPr="00A751DA">
              <w:rPr>
                <w:rStyle w:val="Accentuation"/>
                <w:i w:val="0"/>
              </w:rPr>
              <w:t>Presse écrite</w:t>
            </w:r>
          </w:p>
        </w:tc>
        <w:tc>
          <w:tcPr>
            <w:tcW w:w="4291" w:type="dxa"/>
          </w:tcPr>
          <w:p w14:paraId="49E1F8A2" w14:textId="77777777" w:rsidR="00A42312" w:rsidRPr="00A751DA" w:rsidRDefault="00A42312" w:rsidP="007201E1">
            <w:pPr>
              <w:jc w:val="center"/>
              <w:rPr>
                <w:rStyle w:val="Accentuation"/>
                <w:i w:val="0"/>
              </w:rPr>
            </w:pPr>
            <w:r w:rsidRPr="00A751DA">
              <w:rPr>
                <w:rStyle w:val="Accentuation"/>
                <w:i w:val="0"/>
              </w:rPr>
              <w:t>0</w:t>
            </w:r>
            <w:r w:rsidR="00CF014E">
              <w:rPr>
                <w:rStyle w:val="Accentuation"/>
                <w:i w:val="0"/>
              </w:rPr>
              <w:t>6</w:t>
            </w:r>
          </w:p>
        </w:tc>
      </w:tr>
      <w:tr w:rsidR="00A42312" w:rsidRPr="00A751DA" w14:paraId="1E7AAD41" w14:textId="77777777" w:rsidTr="007201E1">
        <w:trPr>
          <w:trHeight w:val="272"/>
        </w:trPr>
        <w:tc>
          <w:tcPr>
            <w:tcW w:w="4606" w:type="dxa"/>
          </w:tcPr>
          <w:p w14:paraId="5BD5F9AE" w14:textId="77777777" w:rsidR="00A42312" w:rsidRPr="00A751DA" w:rsidRDefault="00A42312" w:rsidP="007201E1">
            <w:pPr>
              <w:jc w:val="both"/>
              <w:rPr>
                <w:rStyle w:val="Accentuation"/>
                <w:i w:val="0"/>
              </w:rPr>
            </w:pPr>
            <w:r w:rsidRPr="00A751DA">
              <w:rPr>
                <w:rStyle w:val="Accentuation"/>
                <w:i w:val="0"/>
              </w:rPr>
              <w:t>Radio</w:t>
            </w:r>
          </w:p>
        </w:tc>
        <w:tc>
          <w:tcPr>
            <w:tcW w:w="4291" w:type="dxa"/>
          </w:tcPr>
          <w:p w14:paraId="3AD87E86" w14:textId="77777777" w:rsidR="00A42312" w:rsidRPr="00A751DA" w:rsidRDefault="00A42312" w:rsidP="007201E1">
            <w:pPr>
              <w:jc w:val="center"/>
              <w:rPr>
                <w:rStyle w:val="Accentuation"/>
                <w:i w:val="0"/>
              </w:rPr>
            </w:pPr>
            <w:r w:rsidRPr="00A751DA">
              <w:rPr>
                <w:rStyle w:val="Accentuation"/>
                <w:i w:val="0"/>
              </w:rPr>
              <w:t>0</w:t>
            </w:r>
            <w:r w:rsidR="00CF014E">
              <w:rPr>
                <w:rStyle w:val="Accentuation"/>
                <w:i w:val="0"/>
              </w:rPr>
              <w:t>2</w:t>
            </w:r>
          </w:p>
        </w:tc>
      </w:tr>
      <w:tr w:rsidR="00CF014E" w:rsidRPr="00A751DA" w14:paraId="114F4688" w14:textId="77777777" w:rsidTr="007201E1">
        <w:trPr>
          <w:trHeight w:val="272"/>
        </w:trPr>
        <w:tc>
          <w:tcPr>
            <w:tcW w:w="4606" w:type="dxa"/>
          </w:tcPr>
          <w:p w14:paraId="63555088" w14:textId="77777777" w:rsidR="00CF014E" w:rsidRPr="00A751DA" w:rsidRDefault="00CF014E" w:rsidP="007201E1">
            <w:pPr>
              <w:jc w:val="both"/>
              <w:rPr>
                <w:rStyle w:val="Accentuation"/>
                <w:i w:val="0"/>
              </w:rPr>
            </w:pPr>
            <w:r>
              <w:rPr>
                <w:rStyle w:val="Accentuation"/>
                <w:i w:val="0"/>
              </w:rPr>
              <w:t>Média social</w:t>
            </w:r>
          </w:p>
        </w:tc>
        <w:tc>
          <w:tcPr>
            <w:tcW w:w="4291" w:type="dxa"/>
          </w:tcPr>
          <w:p w14:paraId="5AFF5AE7" w14:textId="77777777" w:rsidR="00CF014E" w:rsidRPr="00A751DA" w:rsidRDefault="00CF014E" w:rsidP="007201E1">
            <w:pPr>
              <w:jc w:val="center"/>
              <w:rPr>
                <w:rStyle w:val="Accentuation"/>
                <w:i w:val="0"/>
              </w:rPr>
            </w:pPr>
            <w:r>
              <w:rPr>
                <w:rStyle w:val="Accentuation"/>
                <w:i w:val="0"/>
              </w:rPr>
              <w:t>02</w:t>
            </w:r>
          </w:p>
        </w:tc>
      </w:tr>
    </w:tbl>
    <w:p w14:paraId="2951977D" w14:textId="77777777" w:rsidR="00A42312" w:rsidRPr="00A751DA" w:rsidRDefault="00A42312" w:rsidP="00A42312">
      <w:pPr>
        <w:spacing w:line="276" w:lineRule="auto"/>
        <w:jc w:val="both"/>
        <w:rPr>
          <w:rStyle w:val="Accentuation"/>
          <w:i w:val="0"/>
        </w:rPr>
      </w:pPr>
    </w:p>
    <w:p w14:paraId="3A2D6636" w14:textId="77777777" w:rsidR="00A42312" w:rsidRPr="00356B90" w:rsidRDefault="00CF014E" w:rsidP="00A42312">
      <w:pPr>
        <w:spacing w:line="276" w:lineRule="auto"/>
        <w:jc w:val="both"/>
        <w:rPr>
          <w:rStyle w:val="Accentuation"/>
          <w:i w:val="0"/>
        </w:rPr>
      </w:pPr>
      <w:r>
        <w:rPr>
          <w:rStyle w:val="Accentuation"/>
          <w:i w:val="0"/>
        </w:rPr>
        <w:t xml:space="preserve">Vingt-cinq (25) pièces médiatiques produites ce mois de novembre 2025. </w:t>
      </w:r>
    </w:p>
    <w:p w14:paraId="7AB6EA40" w14:textId="77777777" w:rsidR="00356B90" w:rsidRPr="002B238F" w:rsidRDefault="00356B90" w:rsidP="00A42312">
      <w:pPr>
        <w:spacing w:line="276" w:lineRule="auto"/>
        <w:jc w:val="both"/>
        <w:rPr>
          <w:rStyle w:val="Accentuation"/>
          <w:i w:val="0"/>
          <w:lang w:val="fr-BE"/>
        </w:rPr>
      </w:pPr>
    </w:p>
    <w:p w14:paraId="564581C6" w14:textId="77777777" w:rsidR="00A42312" w:rsidRPr="002B238F" w:rsidRDefault="00A42312" w:rsidP="00A42312">
      <w:pPr>
        <w:pStyle w:val="Titre1"/>
        <w:shd w:val="clear" w:color="auto" w:fill="000000"/>
        <w:jc w:val="both"/>
        <w:rPr>
          <w:rStyle w:val="Accentuation"/>
          <w:sz w:val="24"/>
        </w:rPr>
      </w:pPr>
      <w:bookmarkStart w:id="6" w:name="_Toc330025956"/>
      <w:bookmarkStart w:id="7" w:name="_Toc7774931"/>
      <w:r w:rsidRPr="002B238F">
        <w:rPr>
          <w:rStyle w:val="Accentuation"/>
          <w:sz w:val="24"/>
        </w:rPr>
        <w:t>Relations extérieures</w:t>
      </w:r>
      <w:bookmarkEnd w:id="6"/>
      <w:bookmarkEnd w:id="7"/>
    </w:p>
    <w:p w14:paraId="439071C1" w14:textId="77777777" w:rsidR="00A42312" w:rsidRPr="002B238F" w:rsidRDefault="00A42312" w:rsidP="00A42312">
      <w:pPr>
        <w:rPr>
          <w:lang w:val="fr-CH" w:bidi="he-IL"/>
        </w:rPr>
      </w:pPr>
    </w:p>
    <w:p w14:paraId="1768D760" w14:textId="77777777" w:rsidR="00A42312" w:rsidRPr="002B238F" w:rsidRDefault="00A42312" w:rsidP="00A42312">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42312" w:rsidRPr="002B238F" w14:paraId="41BA7654" w14:textId="77777777" w:rsidTr="007201E1">
        <w:trPr>
          <w:trHeight w:val="323"/>
        </w:trPr>
        <w:tc>
          <w:tcPr>
            <w:tcW w:w="4350" w:type="dxa"/>
          </w:tcPr>
          <w:p w14:paraId="2C1B44AF" w14:textId="77777777" w:rsidR="00A42312" w:rsidRPr="002B238F" w:rsidRDefault="00A42312" w:rsidP="007201E1">
            <w:pPr>
              <w:jc w:val="both"/>
              <w:rPr>
                <w:rStyle w:val="Accentuation"/>
              </w:rPr>
            </w:pPr>
            <w:r w:rsidRPr="002B238F">
              <w:rPr>
                <w:rStyle w:val="Accentuation"/>
              </w:rPr>
              <w:lastRenderedPageBreak/>
              <w:t>Nombre de rencontres</w:t>
            </w:r>
          </w:p>
        </w:tc>
        <w:tc>
          <w:tcPr>
            <w:tcW w:w="4380" w:type="dxa"/>
          </w:tcPr>
          <w:p w14:paraId="2D26BA01" w14:textId="727CE247" w:rsidR="00A42312" w:rsidRPr="002B238F" w:rsidRDefault="002F645A" w:rsidP="007201E1">
            <w:pPr>
              <w:jc w:val="center"/>
              <w:rPr>
                <w:rStyle w:val="Accentuation"/>
              </w:rPr>
            </w:pPr>
            <w:r>
              <w:rPr>
                <w:rStyle w:val="Accentuation"/>
              </w:rPr>
              <w:t>09</w:t>
            </w:r>
          </w:p>
        </w:tc>
      </w:tr>
      <w:tr w:rsidR="00A42312" w:rsidRPr="002B238F" w14:paraId="07022B31" w14:textId="77777777" w:rsidTr="007201E1">
        <w:trPr>
          <w:trHeight w:val="323"/>
        </w:trPr>
        <w:tc>
          <w:tcPr>
            <w:tcW w:w="4350" w:type="dxa"/>
          </w:tcPr>
          <w:p w14:paraId="295A56AC" w14:textId="77777777" w:rsidR="00A42312" w:rsidRPr="002B238F" w:rsidRDefault="00A42312" w:rsidP="007201E1">
            <w:pPr>
              <w:jc w:val="both"/>
              <w:rPr>
                <w:rStyle w:val="Accentuation"/>
                <w:i w:val="0"/>
              </w:rPr>
            </w:pPr>
            <w:r w:rsidRPr="002B238F">
              <w:rPr>
                <w:rStyle w:val="Accentuation"/>
              </w:rPr>
              <w:t>Suivi de l’accord de collaboration</w:t>
            </w:r>
            <w:r w:rsidRPr="002B238F">
              <w:rPr>
                <w:rStyle w:val="Accentuation"/>
              </w:rPr>
              <w:tab/>
            </w:r>
          </w:p>
        </w:tc>
        <w:tc>
          <w:tcPr>
            <w:tcW w:w="4380" w:type="dxa"/>
          </w:tcPr>
          <w:p w14:paraId="09BBDC61" w14:textId="77777777" w:rsidR="00A42312" w:rsidRPr="002B238F" w:rsidRDefault="001E6BD8" w:rsidP="007201E1">
            <w:pPr>
              <w:jc w:val="center"/>
              <w:rPr>
                <w:rStyle w:val="Accentuation"/>
                <w:iCs w:val="0"/>
              </w:rPr>
            </w:pPr>
            <w:r>
              <w:rPr>
                <w:rStyle w:val="Accentuation"/>
                <w:iCs w:val="0"/>
              </w:rPr>
              <w:t>0</w:t>
            </w:r>
            <w:r w:rsidR="006D4953">
              <w:rPr>
                <w:rStyle w:val="Accentuation"/>
                <w:iCs w:val="0"/>
              </w:rPr>
              <w:t>1</w:t>
            </w:r>
          </w:p>
        </w:tc>
      </w:tr>
      <w:tr w:rsidR="00A42312" w:rsidRPr="002B238F" w14:paraId="38B25604" w14:textId="77777777" w:rsidTr="007201E1">
        <w:trPr>
          <w:trHeight w:val="297"/>
        </w:trPr>
        <w:tc>
          <w:tcPr>
            <w:tcW w:w="4350" w:type="dxa"/>
            <w:vAlign w:val="center"/>
          </w:tcPr>
          <w:p w14:paraId="793FA1E2" w14:textId="77777777" w:rsidR="00A42312" w:rsidRPr="002B238F" w:rsidRDefault="00A42312" w:rsidP="007201E1">
            <w:pPr>
              <w:rPr>
                <w:rStyle w:val="Accentuation"/>
                <w:i w:val="0"/>
              </w:rPr>
            </w:pPr>
            <w:r w:rsidRPr="002B238F">
              <w:rPr>
                <w:rStyle w:val="Accentuation"/>
              </w:rPr>
              <w:t>Collaboration sur affaire</w:t>
            </w:r>
          </w:p>
        </w:tc>
        <w:tc>
          <w:tcPr>
            <w:tcW w:w="4380" w:type="dxa"/>
            <w:vAlign w:val="center"/>
          </w:tcPr>
          <w:p w14:paraId="193245F4" w14:textId="77777777" w:rsidR="00A42312" w:rsidRPr="002B238F" w:rsidRDefault="001E6BD8" w:rsidP="007201E1">
            <w:pPr>
              <w:jc w:val="center"/>
              <w:rPr>
                <w:rStyle w:val="Accentuation"/>
                <w:iCs w:val="0"/>
              </w:rPr>
            </w:pPr>
            <w:r>
              <w:rPr>
                <w:rStyle w:val="Accentuation"/>
                <w:iCs w:val="0"/>
              </w:rPr>
              <w:t>0</w:t>
            </w:r>
            <w:r w:rsidR="006D4953">
              <w:rPr>
                <w:rStyle w:val="Accentuation"/>
                <w:iCs w:val="0"/>
              </w:rPr>
              <w:t>1</w:t>
            </w:r>
          </w:p>
        </w:tc>
      </w:tr>
    </w:tbl>
    <w:p w14:paraId="2C9AB005" w14:textId="77777777" w:rsidR="00A42312" w:rsidRPr="002B238F" w:rsidRDefault="00A42312" w:rsidP="00A42312">
      <w:pPr>
        <w:jc w:val="both"/>
        <w:rPr>
          <w:rStyle w:val="Accentuation"/>
          <w:lang w:val="fr-BE"/>
        </w:rPr>
      </w:pPr>
    </w:p>
    <w:p w14:paraId="455F7E1E" w14:textId="77777777" w:rsidR="00A42312" w:rsidRPr="00F657E8" w:rsidRDefault="009C6ACC" w:rsidP="00A42312">
      <w:pPr>
        <w:jc w:val="both"/>
        <w:rPr>
          <w:rStyle w:val="Accentuation"/>
          <w:b/>
          <w:bCs/>
          <w:i w:val="0"/>
        </w:rPr>
      </w:pPr>
      <w:r w:rsidRPr="00F657E8">
        <w:rPr>
          <w:rStyle w:val="Accentuation"/>
          <w:b/>
          <w:bCs/>
          <w:i w:val="0"/>
        </w:rPr>
        <w:t>Ogooué-Ivindo</w:t>
      </w:r>
    </w:p>
    <w:p w14:paraId="7B76179E" w14:textId="77777777" w:rsidR="009C6ACC" w:rsidRDefault="009C6ACC" w:rsidP="00A42312">
      <w:pPr>
        <w:jc w:val="both"/>
        <w:rPr>
          <w:rStyle w:val="Accentuation"/>
          <w:i w:val="0"/>
        </w:rPr>
      </w:pPr>
    </w:p>
    <w:p w14:paraId="7C74F69D" w14:textId="47D4C650" w:rsidR="009C6ACC" w:rsidRDefault="009C6ACC" w:rsidP="00A42312">
      <w:pPr>
        <w:jc w:val="both"/>
        <w:rPr>
          <w:rStyle w:val="Accentuation"/>
          <w:i w:val="0"/>
        </w:rPr>
      </w:pPr>
      <w:r>
        <w:rPr>
          <w:rStyle w:val="Accentuation"/>
          <w:i w:val="0"/>
        </w:rPr>
        <w:t xml:space="preserve">L’équipe de Conservation Justice d’opération a rencontré l’intérimaire du Directeur provincial des </w:t>
      </w:r>
      <w:r w:rsidR="00063C73">
        <w:rPr>
          <w:rStyle w:val="Accentuation"/>
          <w:i w:val="0"/>
        </w:rPr>
        <w:t>E</w:t>
      </w:r>
      <w:r>
        <w:rPr>
          <w:rStyle w:val="Accentuation"/>
          <w:i w:val="0"/>
        </w:rPr>
        <w:t xml:space="preserve">aux et </w:t>
      </w:r>
      <w:r w:rsidR="00063C73">
        <w:rPr>
          <w:rStyle w:val="Accentuation"/>
          <w:i w:val="0"/>
        </w:rPr>
        <w:t>F</w:t>
      </w:r>
      <w:r>
        <w:rPr>
          <w:rStyle w:val="Accentuation"/>
          <w:i w:val="0"/>
        </w:rPr>
        <w:t xml:space="preserve">orêts, le chef du bureau faune de la direction, </w:t>
      </w:r>
      <w:r w:rsidR="006D4953">
        <w:rPr>
          <w:rStyle w:val="Accentuation"/>
          <w:i w:val="0"/>
        </w:rPr>
        <w:t xml:space="preserve">des agents eaux et forêt, </w:t>
      </w:r>
      <w:r>
        <w:rPr>
          <w:rStyle w:val="Accentuation"/>
          <w:i w:val="0"/>
        </w:rPr>
        <w:t xml:space="preserve">le chef d’antenne provinciale de la police judiciaire. </w:t>
      </w:r>
    </w:p>
    <w:p w14:paraId="2E25ECBB" w14:textId="77777777" w:rsidR="009C6ACC" w:rsidRDefault="009C6ACC" w:rsidP="00A42312">
      <w:pPr>
        <w:jc w:val="both"/>
        <w:rPr>
          <w:rStyle w:val="Accentuation"/>
          <w:i w:val="0"/>
        </w:rPr>
      </w:pPr>
    </w:p>
    <w:p w14:paraId="58DACFB4" w14:textId="77777777" w:rsidR="00F657E8" w:rsidRDefault="00F657E8" w:rsidP="00A42312">
      <w:pPr>
        <w:jc w:val="both"/>
        <w:rPr>
          <w:rStyle w:val="Accentuation"/>
          <w:i w:val="0"/>
        </w:rPr>
      </w:pPr>
    </w:p>
    <w:p w14:paraId="5D5F1C1B" w14:textId="77777777" w:rsidR="00F657E8" w:rsidRPr="00146C0C" w:rsidRDefault="00F657E8" w:rsidP="00A42312">
      <w:pPr>
        <w:jc w:val="both"/>
        <w:rPr>
          <w:rStyle w:val="Accentuation"/>
          <w:b/>
          <w:bCs/>
          <w:i w:val="0"/>
        </w:rPr>
      </w:pPr>
      <w:r w:rsidRPr="00146C0C">
        <w:rPr>
          <w:rStyle w:val="Accentuation"/>
          <w:b/>
          <w:bCs/>
          <w:i w:val="0"/>
        </w:rPr>
        <w:t xml:space="preserve">Estuaire </w:t>
      </w:r>
    </w:p>
    <w:p w14:paraId="24C63158" w14:textId="77777777" w:rsidR="00F657E8" w:rsidRDefault="00F657E8" w:rsidP="00A42312">
      <w:pPr>
        <w:jc w:val="both"/>
        <w:rPr>
          <w:rStyle w:val="Accentuation"/>
          <w:i w:val="0"/>
        </w:rPr>
      </w:pPr>
    </w:p>
    <w:p w14:paraId="625FC845" w14:textId="77777777" w:rsidR="00F657E8" w:rsidRDefault="00F657E8" w:rsidP="00A42312">
      <w:pPr>
        <w:jc w:val="both"/>
        <w:rPr>
          <w:rStyle w:val="Accentuation"/>
          <w:i w:val="0"/>
        </w:rPr>
      </w:pPr>
      <w:r>
        <w:rPr>
          <w:rStyle w:val="Accentuation"/>
          <w:i w:val="0"/>
        </w:rPr>
        <w:t xml:space="preserve">Le département juridique a </w:t>
      </w:r>
      <w:r w:rsidR="00AB74EC">
        <w:rPr>
          <w:rStyle w:val="Accentuation"/>
          <w:i w:val="0"/>
        </w:rPr>
        <w:t>rencontré</w:t>
      </w:r>
      <w:r>
        <w:rPr>
          <w:rStyle w:val="Accentuation"/>
          <w:i w:val="0"/>
        </w:rPr>
        <w:t xml:space="preserve"> les avocats d</w:t>
      </w:r>
      <w:r w:rsidR="00AB74EC">
        <w:rPr>
          <w:rStyle w:val="Accentuation"/>
          <w:i w:val="0"/>
        </w:rPr>
        <w:t xml:space="preserve">es </w:t>
      </w:r>
      <w:r>
        <w:rPr>
          <w:rStyle w:val="Accentuation"/>
          <w:i w:val="0"/>
        </w:rPr>
        <w:t>cabinet</w:t>
      </w:r>
      <w:r w:rsidR="00AB74EC">
        <w:rPr>
          <w:rStyle w:val="Accentuation"/>
          <w:i w:val="0"/>
        </w:rPr>
        <w:t>s</w:t>
      </w:r>
      <w:r>
        <w:rPr>
          <w:rStyle w:val="Accentuation"/>
          <w:i w:val="0"/>
        </w:rPr>
        <w:t xml:space="preserve"> BOUSSOUGOU </w:t>
      </w:r>
      <w:r w:rsidR="00AB74EC">
        <w:rPr>
          <w:rStyle w:val="Accentuation"/>
          <w:i w:val="0"/>
        </w:rPr>
        <w:t>et MOUBEYI</w:t>
      </w:r>
      <w:r>
        <w:rPr>
          <w:rStyle w:val="Accentuation"/>
          <w:i w:val="0"/>
        </w:rPr>
        <w:t xml:space="preserve"> pour </w:t>
      </w:r>
      <w:r w:rsidR="0066380B">
        <w:rPr>
          <w:rStyle w:val="Accentuation"/>
          <w:i w:val="0"/>
        </w:rPr>
        <w:t>les dossiers relatifs</w:t>
      </w:r>
      <w:r>
        <w:rPr>
          <w:rStyle w:val="Accentuation"/>
          <w:i w:val="0"/>
        </w:rPr>
        <w:t xml:space="preserve"> au trafic de faune suivis par ces derniers. </w:t>
      </w:r>
    </w:p>
    <w:p w14:paraId="0F92EDF7" w14:textId="77777777" w:rsidR="00243FBB" w:rsidRDefault="00243FBB" w:rsidP="00A42312">
      <w:pPr>
        <w:jc w:val="both"/>
        <w:rPr>
          <w:rStyle w:val="Accentuation"/>
          <w:i w:val="0"/>
        </w:rPr>
      </w:pPr>
    </w:p>
    <w:p w14:paraId="12BFC99E" w14:textId="77777777" w:rsidR="009C6ACC" w:rsidRPr="002B238F" w:rsidRDefault="009C6ACC" w:rsidP="00A42312">
      <w:pPr>
        <w:jc w:val="both"/>
        <w:rPr>
          <w:rStyle w:val="Accentuation"/>
          <w:i w:val="0"/>
        </w:rPr>
      </w:pPr>
    </w:p>
    <w:p w14:paraId="62A65E4E" w14:textId="77777777" w:rsidR="00A42312" w:rsidRPr="002B238F" w:rsidRDefault="00A42312" w:rsidP="00A42312">
      <w:pPr>
        <w:pStyle w:val="Titre1"/>
        <w:shd w:val="clear" w:color="auto" w:fill="000000"/>
        <w:jc w:val="both"/>
        <w:rPr>
          <w:rStyle w:val="Accentuation"/>
          <w:sz w:val="24"/>
        </w:rPr>
      </w:pPr>
      <w:bookmarkStart w:id="8" w:name="_Toc7774932"/>
      <w:r w:rsidRPr="002B238F">
        <w:rPr>
          <w:rStyle w:val="Accentuation"/>
          <w:sz w:val="24"/>
        </w:rPr>
        <w:t>Conclusion</w:t>
      </w:r>
      <w:bookmarkEnd w:id="8"/>
    </w:p>
    <w:p w14:paraId="237CC11C" w14:textId="77777777" w:rsidR="00A42312" w:rsidRPr="002B238F" w:rsidRDefault="00A42312" w:rsidP="00A42312">
      <w:pPr>
        <w:jc w:val="both"/>
        <w:rPr>
          <w:rStyle w:val="Accentuation"/>
        </w:rPr>
      </w:pPr>
    </w:p>
    <w:p w14:paraId="5A03ADA7" w14:textId="27CA4181" w:rsidR="00063C73" w:rsidRDefault="00063C73" w:rsidP="00C448ED">
      <w:pPr>
        <w:jc w:val="both"/>
      </w:pPr>
      <w:r>
        <w:t xml:space="preserve">En ce mois de Novembre 2025, </w:t>
      </w:r>
      <w:r w:rsidR="00C448ED">
        <w:t>une mission de lutte contre le trafic d’ivoire</w:t>
      </w:r>
      <w:r>
        <w:t xml:space="preserve"> a été organisée, menant à l’interpellation de</w:t>
      </w:r>
      <w:r w:rsidR="00C448ED">
        <w:t xml:space="preserve"> 4 suspects en possession 14 pointes d’ivoire. </w:t>
      </w:r>
    </w:p>
    <w:p w14:paraId="040922CC" w14:textId="153FA950" w:rsidR="003B3FF0" w:rsidRDefault="00AB74EC" w:rsidP="00C448ED">
      <w:pPr>
        <w:jc w:val="both"/>
      </w:pPr>
      <w:r>
        <w:t xml:space="preserve">Trois </w:t>
      </w:r>
      <w:r w:rsidR="00C448ED">
        <w:t xml:space="preserve">enquêtes menées dans les provinces du </w:t>
      </w:r>
      <w:proofErr w:type="spellStart"/>
      <w:r w:rsidR="00C448ED">
        <w:t>Woleu-Ntem</w:t>
      </w:r>
      <w:proofErr w:type="spellEnd"/>
      <w:r w:rsidR="00C448ED">
        <w:t xml:space="preserve"> et l’Ogooué-Ivindo ont permis d’identifier neufs profils de cible</w:t>
      </w:r>
      <w:r>
        <w:t xml:space="preserve"> intéressantes</w:t>
      </w:r>
      <w:r w:rsidR="00063C73">
        <w:t>, laissant présager de nouvelles opérations</w:t>
      </w:r>
    </w:p>
    <w:p w14:paraId="6D88947E" w14:textId="77777777" w:rsidR="00C448ED" w:rsidRDefault="00C448ED" w:rsidP="00C448ED">
      <w:pPr>
        <w:jc w:val="both"/>
      </w:pPr>
    </w:p>
    <w:p w14:paraId="2BB5A24E" w14:textId="77777777" w:rsidR="00C448ED" w:rsidRDefault="00C448ED" w:rsidP="00C448ED">
      <w:pPr>
        <w:jc w:val="both"/>
      </w:pPr>
    </w:p>
    <w:p w14:paraId="72205FFA" w14:textId="77777777" w:rsidR="00C448ED" w:rsidRDefault="00C448ED" w:rsidP="00C448ED">
      <w:pPr>
        <w:jc w:val="both"/>
      </w:pPr>
    </w:p>
    <w:p w14:paraId="5F0EEB43" w14:textId="77777777" w:rsidR="00C448ED" w:rsidRDefault="00C448ED" w:rsidP="00C448ED">
      <w:pPr>
        <w:jc w:val="both"/>
      </w:pPr>
    </w:p>
    <w:sectPr w:rsidR="00C448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BA53" w14:textId="77777777" w:rsidR="004A7830" w:rsidRDefault="004A7830" w:rsidP="00044A73">
      <w:r>
        <w:separator/>
      </w:r>
    </w:p>
  </w:endnote>
  <w:endnote w:type="continuationSeparator" w:id="0">
    <w:p w14:paraId="6019DCA8" w14:textId="77777777" w:rsidR="004A7830" w:rsidRDefault="004A7830" w:rsidP="0004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BBDD" w14:textId="77777777" w:rsidR="004A7830" w:rsidRDefault="004A7830" w:rsidP="00044A73">
      <w:r>
        <w:separator/>
      </w:r>
    </w:p>
  </w:footnote>
  <w:footnote w:type="continuationSeparator" w:id="0">
    <w:p w14:paraId="2AC45FD6" w14:textId="77777777" w:rsidR="004A7830" w:rsidRDefault="004A7830" w:rsidP="0004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2" w15:restartNumberingAfterBreak="0">
    <w:nsid w:val="55BD6B21"/>
    <w:multiLevelType w:val="hybridMultilevel"/>
    <w:tmpl w:val="4C8AA6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49E5DC2"/>
    <w:multiLevelType w:val="hybridMultilevel"/>
    <w:tmpl w:val="695C6854"/>
    <w:lvl w:ilvl="0" w:tplc="48F2EA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89973A7"/>
    <w:multiLevelType w:val="hybridMultilevel"/>
    <w:tmpl w:val="33AA8592"/>
    <w:lvl w:ilvl="0" w:tplc="EE70E1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1688787">
    <w:abstractNumId w:val="1"/>
  </w:num>
  <w:num w:numId="2" w16cid:durableId="159665466">
    <w:abstractNumId w:val="0"/>
  </w:num>
  <w:num w:numId="3" w16cid:durableId="1940016288">
    <w:abstractNumId w:val="2"/>
  </w:num>
  <w:num w:numId="4" w16cid:durableId="118231790">
    <w:abstractNumId w:val="4"/>
  </w:num>
  <w:num w:numId="5" w16cid:durableId="199933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12"/>
    <w:rsid w:val="00044A73"/>
    <w:rsid w:val="00063C73"/>
    <w:rsid w:val="00146C0C"/>
    <w:rsid w:val="001E6BD8"/>
    <w:rsid w:val="00224727"/>
    <w:rsid w:val="0023412B"/>
    <w:rsid w:val="00243FBB"/>
    <w:rsid w:val="002F645A"/>
    <w:rsid w:val="003374BF"/>
    <w:rsid w:val="00342C62"/>
    <w:rsid w:val="00356B90"/>
    <w:rsid w:val="003B3B10"/>
    <w:rsid w:val="003B3FF0"/>
    <w:rsid w:val="003C51DB"/>
    <w:rsid w:val="003D70E3"/>
    <w:rsid w:val="004775BC"/>
    <w:rsid w:val="004A7830"/>
    <w:rsid w:val="004E329D"/>
    <w:rsid w:val="005415D6"/>
    <w:rsid w:val="00573207"/>
    <w:rsid w:val="005B6D42"/>
    <w:rsid w:val="005D31DB"/>
    <w:rsid w:val="0066380B"/>
    <w:rsid w:val="00666851"/>
    <w:rsid w:val="006959E7"/>
    <w:rsid w:val="006D4953"/>
    <w:rsid w:val="00755051"/>
    <w:rsid w:val="00795CA6"/>
    <w:rsid w:val="007B142C"/>
    <w:rsid w:val="007C65CD"/>
    <w:rsid w:val="00810A2F"/>
    <w:rsid w:val="008439AE"/>
    <w:rsid w:val="0085574D"/>
    <w:rsid w:val="00865B19"/>
    <w:rsid w:val="008947E9"/>
    <w:rsid w:val="008F54F9"/>
    <w:rsid w:val="00965412"/>
    <w:rsid w:val="00974F04"/>
    <w:rsid w:val="009C6ACC"/>
    <w:rsid w:val="009F6EF5"/>
    <w:rsid w:val="009F7608"/>
    <w:rsid w:val="00A02596"/>
    <w:rsid w:val="00A42312"/>
    <w:rsid w:val="00A751DA"/>
    <w:rsid w:val="00AB74EC"/>
    <w:rsid w:val="00AD07A4"/>
    <w:rsid w:val="00AD2B74"/>
    <w:rsid w:val="00B51A6E"/>
    <w:rsid w:val="00B53A5B"/>
    <w:rsid w:val="00C448ED"/>
    <w:rsid w:val="00C45AA1"/>
    <w:rsid w:val="00C83D9E"/>
    <w:rsid w:val="00CF014E"/>
    <w:rsid w:val="00D11511"/>
    <w:rsid w:val="00D2097B"/>
    <w:rsid w:val="00D94C02"/>
    <w:rsid w:val="00E70188"/>
    <w:rsid w:val="00EC37FE"/>
    <w:rsid w:val="00F14023"/>
    <w:rsid w:val="00F303E8"/>
    <w:rsid w:val="00F32BCE"/>
    <w:rsid w:val="00F657E8"/>
    <w:rsid w:val="00FA4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9B69"/>
  <w15:chartTrackingRefBased/>
  <w15:docId w15:val="{4DB1FE2A-A65C-46F2-B87D-AB6DDD7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12"/>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42312"/>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42312"/>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4231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42312"/>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42312"/>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42312"/>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42312"/>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42312"/>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42312"/>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42312"/>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42312"/>
    <w:rPr>
      <w:rFonts w:ascii="Arial" w:eastAsia="Times New Roman" w:hAnsi="Arial" w:cs="Arial"/>
      <w:b/>
      <w:bCs/>
      <w:i/>
      <w:iCs/>
      <w:sz w:val="28"/>
      <w:szCs w:val="28"/>
    </w:rPr>
  </w:style>
  <w:style w:type="character" w:customStyle="1" w:styleId="Titre3Car">
    <w:name w:val="Titre 3 Car"/>
    <w:basedOn w:val="Policepardfaut"/>
    <w:link w:val="Titre3"/>
    <w:uiPriority w:val="99"/>
    <w:rsid w:val="00A42312"/>
    <w:rPr>
      <w:rFonts w:ascii="Arial" w:eastAsia="Times New Roman" w:hAnsi="Arial" w:cs="Arial"/>
      <w:b/>
      <w:bCs/>
      <w:sz w:val="26"/>
      <w:szCs w:val="26"/>
    </w:rPr>
  </w:style>
  <w:style w:type="character" w:customStyle="1" w:styleId="Titre4Car">
    <w:name w:val="Titre 4 Car"/>
    <w:basedOn w:val="Policepardfaut"/>
    <w:link w:val="Titre4"/>
    <w:uiPriority w:val="99"/>
    <w:rsid w:val="00A42312"/>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42312"/>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42312"/>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42312"/>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42312"/>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42312"/>
    <w:rPr>
      <w:rFonts w:ascii="Rockwell" w:eastAsia="Times New Roman" w:hAnsi="Rockwell" w:cs="Times New Roman"/>
      <w:i/>
      <w:iCs/>
      <w:color w:val="404040"/>
      <w:sz w:val="20"/>
      <w:szCs w:val="20"/>
    </w:rPr>
  </w:style>
  <w:style w:type="paragraph" w:styleId="En-tte">
    <w:name w:val="header"/>
    <w:basedOn w:val="Normal"/>
    <w:link w:val="En-tteCar"/>
    <w:uiPriority w:val="99"/>
    <w:rsid w:val="00A42312"/>
    <w:pPr>
      <w:tabs>
        <w:tab w:val="center" w:pos="4536"/>
        <w:tab w:val="right" w:pos="9072"/>
      </w:tabs>
    </w:pPr>
  </w:style>
  <w:style w:type="character" w:customStyle="1" w:styleId="En-tteCar">
    <w:name w:val="En-tête Car"/>
    <w:basedOn w:val="Policepardfaut"/>
    <w:link w:val="En-tte"/>
    <w:uiPriority w:val="99"/>
    <w:rsid w:val="00A42312"/>
    <w:rPr>
      <w:rFonts w:ascii="Times New Roman" w:eastAsia="Times New Roman" w:hAnsi="Times New Roman" w:cs="Times New Roman"/>
      <w:sz w:val="24"/>
      <w:szCs w:val="24"/>
    </w:rPr>
  </w:style>
  <w:style w:type="table" w:styleId="Grilledutableau">
    <w:name w:val="Table Grid"/>
    <w:basedOn w:val="TableauNormal"/>
    <w:uiPriority w:val="59"/>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42312"/>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A42312"/>
    <w:rPr>
      <w:i/>
      <w:iCs/>
    </w:rPr>
  </w:style>
  <w:style w:type="paragraph" w:styleId="Paragraphedeliste">
    <w:name w:val="List Paragraph"/>
    <w:basedOn w:val="Normal"/>
    <w:uiPriority w:val="34"/>
    <w:qFormat/>
    <w:rsid w:val="00A42312"/>
    <w:pPr>
      <w:ind w:left="720"/>
      <w:contextualSpacing/>
    </w:pPr>
  </w:style>
  <w:style w:type="paragraph" w:styleId="NormalWeb">
    <w:name w:val="Normal (Web)"/>
    <w:basedOn w:val="Normal"/>
    <w:uiPriority w:val="99"/>
    <w:unhideWhenUsed/>
    <w:rsid w:val="00FA4882"/>
    <w:pPr>
      <w:spacing w:before="100" w:beforeAutospacing="1" w:after="100" w:afterAutospacing="1"/>
    </w:pPr>
    <w:rPr>
      <w:lang w:val="en-US"/>
    </w:rPr>
  </w:style>
  <w:style w:type="paragraph" w:styleId="Sansinterligne">
    <w:name w:val="No Spacing"/>
    <w:uiPriority w:val="1"/>
    <w:qFormat/>
    <w:rsid w:val="00C83D9E"/>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C83D9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3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3D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83D9E"/>
    <w:rPr>
      <w:rFonts w:eastAsiaTheme="minorEastAsia"/>
      <w:color w:val="5A5A5A" w:themeColor="text1" w:themeTint="A5"/>
      <w:spacing w:val="15"/>
    </w:rPr>
  </w:style>
  <w:style w:type="character" w:styleId="Accentuationlgre">
    <w:name w:val="Subtle Emphasis"/>
    <w:basedOn w:val="Policepardfaut"/>
    <w:uiPriority w:val="19"/>
    <w:qFormat/>
    <w:rsid w:val="00C83D9E"/>
    <w:rPr>
      <w:i/>
      <w:iCs/>
      <w:color w:val="404040" w:themeColor="text1" w:themeTint="BF"/>
    </w:rPr>
  </w:style>
  <w:style w:type="character" w:styleId="Accentuationintense">
    <w:name w:val="Intense Emphasis"/>
    <w:basedOn w:val="Policepardfaut"/>
    <w:uiPriority w:val="21"/>
    <w:qFormat/>
    <w:rsid w:val="00C83D9E"/>
    <w:rPr>
      <w:i/>
      <w:iCs/>
      <w:color w:val="5B9BD5" w:themeColor="accent1"/>
    </w:rPr>
  </w:style>
  <w:style w:type="paragraph" w:styleId="Pieddepage">
    <w:name w:val="footer"/>
    <w:basedOn w:val="Normal"/>
    <w:link w:val="PieddepageCar"/>
    <w:uiPriority w:val="99"/>
    <w:unhideWhenUsed/>
    <w:rsid w:val="00044A73"/>
    <w:pPr>
      <w:tabs>
        <w:tab w:val="center" w:pos="4536"/>
        <w:tab w:val="right" w:pos="9072"/>
      </w:tabs>
    </w:pPr>
  </w:style>
  <w:style w:type="character" w:customStyle="1" w:styleId="PieddepageCar">
    <w:name w:val="Pied de page Car"/>
    <w:basedOn w:val="Policepardfaut"/>
    <w:link w:val="Pieddepage"/>
    <w:uiPriority w:val="99"/>
    <w:rsid w:val="00044A73"/>
    <w:rPr>
      <w:rFonts w:ascii="Times New Roman" w:eastAsia="Times New Roman" w:hAnsi="Times New Roman" w:cs="Times New Roman"/>
      <w:sz w:val="24"/>
      <w:szCs w:val="24"/>
    </w:rPr>
  </w:style>
  <w:style w:type="paragraph" w:styleId="Rvision">
    <w:name w:val="Revision"/>
    <w:hidden/>
    <w:uiPriority w:val="99"/>
    <w:semiHidden/>
    <w:rsid w:val="00C45AA1"/>
    <w:pPr>
      <w:spacing w:after="0"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063C73"/>
    <w:rPr>
      <w:sz w:val="16"/>
      <w:szCs w:val="16"/>
    </w:rPr>
  </w:style>
  <w:style w:type="paragraph" w:styleId="Commentaire">
    <w:name w:val="annotation text"/>
    <w:basedOn w:val="Normal"/>
    <w:link w:val="CommentaireCar"/>
    <w:uiPriority w:val="99"/>
    <w:unhideWhenUsed/>
    <w:rsid w:val="00063C73"/>
    <w:rPr>
      <w:sz w:val="20"/>
      <w:szCs w:val="20"/>
    </w:rPr>
  </w:style>
  <w:style w:type="character" w:customStyle="1" w:styleId="CommentaireCar">
    <w:name w:val="Commentaire Car"/>
    <w:basedOn w:val="Policepardfaut"/>
    <w:link w:val="Commentaire"/>
    <w:uiPriority w:val="99"/>
    <w:rsid w:val="00063C73"/>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063C73"/>
    <w:rPr>
      <w:b/>
      <w:bCs/>
    </w:rPr>
  </w:style>
  <w:style w:type="character" w:customStyle="1" w:styleId="ObjetducommentaireCar">
    <w:name w:val="Objet du commentaire Car"/>
    <w:basedOn w:val="CommentaireCar"/>
    <w:link w:val="Objetducommentaire"/>
    <w:uiPriority w:val="99"/>
    <w:semiHidden/>
    <w:rsid w:val="00063C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8885">
      <w:bodyDiv w:val="1"/>
      <w:marLeft w:val="0"/>
      <w:marRight w:val="0"/>
      <w:marTop w:val="0"/>
      <w:marBottom w:val="0"/>
      <w:divBdr>
        <w:top w:val="none" w:sz="0" w:space="0" w:color="auto"/>
        <w:left w:val="none" w:sz="0" w:space="0" w:color="auto"/>
        <w:bottom w:val="none" w:sz="0" w:space="0" w:color="auto"/>
        <w:right w:val="none" w:sz="0" w:space="0" w:color="auto"/>
      </w:divBdr>
    </w:div>
    <w:div w:id="946160282">
      <w:bodyDiv w:val="1"/>
      <w:marLeft w:val="0"/>
      <w:marRight w:val="0"/>
      <w:marTop w:val="0"/>
      <w:marBottom w:val="0"/>
      <w:divBdr>
        <w:top w:val="none" w:sz="0" w:space="0" w:color="auto"/>
        <w:left w:val="none" w:sz="0" w:space="0" w:color="auto"/>
        <w:bottom w:val="none" w:sz="0" w:space="0" w:color="auto"/>
        <w:right w:val="none" w:sz="0" w:space="0" w:color="auto"/>
      </w:divBdr>
    </w:div>
    <w:div w:id="1052727871">
      <w:bodyDiv w:val="1"/>
      <w:marLeft w:val="0"/>
      <w:marRight w:val="0"/>
      <w:marTop w:val="0"/>
      <w:marBottom w:val="0"/>
      <w:divBdr>
        <w:top w:val="none" w:sz="0" w:space="0" w:color="auto"/>
        <w:left w:val="none" w:sz="0" w:space="0" w:color="auto"/>
        <w:bottom w:val="none" w:sz="0" w:space="0" w:color="auto"/>
        <w:right w:val="none" w:sz="0" w:space="0" w:color="auto"/>
      </w:divBdr>
    </w:div>
    <w:div w:id="1342513979">
      <w:bodyDiv w:val="1"/>
      <w:marLeft w:val="0"/>
      <w:marRight w:val="0"/>
      <w:marTop w:val="0"/>
      <w:marBottom w:val="0"/>
      <w:divBdr>
        <w:top w:val="none" w:sz="0" w:space="0" w:color="auto"/>
        <w:left w:val="none" w:sz="0" w:space="0" w:color="auto"/>
        <w:bottom w:val="none" w:sz="0" w:space="0" w:color="auto"/>
        <w:right w:val="none" w:sz="0" w:space="0" w:color="auto"/>
      </w:divBdr>
    </w:div>
    <w:div w:id="19127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58DC-5F08-4E2E-B70E-317DF9A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1179</Words>
  <Characters>6487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DELL</cp:lastModifiedBy>
  <cp:revision>3</cp:revision>
  <dcterms:created xsi:type="dcterms:W3CDTF">2026-01-23T09:33:00Z</dcterms:created>
  <dcterms:modified xsi:type="dcterms:W3CDTF">2026-01-26T14:16:00Z</dcterms:modified>
</cp:coreProperties>
</file>