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04D" w:rsidRPr="00682A96" w:rsidRDefault="00FE3AA7" w:rsidP="006B2C9A">
      <w:pPr>
        <w:jc w:val="both"/>
        <w:rPr>
          <w:rStyle w:val="Accentuation"/>
          <w:i w:val="0"/>
        </w:rPr>
      </w:pP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-19050</wp:posOffset>
                </wp:positionH>
                <wp:positionV relativeFrom="paragraph">
                  <wp:posOffset>-951865</wp:posOffset>
                </wp:positionV>
                <wp:extent cx="7581900" cy="2381250"/>
                <wp:effectExtent l="0" t="0" r="0" b="0"/>
                <wp:wrapNone/>
                <wp:docPr id="18589346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1"/>
                              <w:tblW w:w="11448" w:type="dxa"/>
                              <w:tblInd w:w="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FFFFFF"/>
                              <w:tblLayout w:type="fixed"/>
                              <w:tblLook w:val="0480" w:firstRow="0" w:lastRow="0" w:firstColumn="1" w:lastColumn="0" w:noHBand="0" w:noVBand="1"/>
                            </w:tblPr>
                            <w:tblGrid>
                              <w:gridCol w:w="1134"/>
                              <w:gridCol w:w="2234"/>
                              <w:gridCol w:w="1276"/>
                              <w:gridCol w:w="2835"/>
                              <w:gridCol w:w="1417"/>
                              <w:gridCol w:w="2552"/>
                            </w:tblGrid>
                            <w:tr w:rsidR="00A9410A" w:rsidTr="005B5097">
                              <w:trPr>
                                <w:trHeight w:val="1385"/>
                              </w:trPr>
                              <w:tc>
                                <w:tcPr>
                                  <w:tcW w:w="1134" w:type="dxa"/>
                                  <w:hideMark/>
                                </w:tcPr>
                                <w:p w:rsidR="00A9410A" w:rsidRDefault="00A9410A">
                                  <w:pPr>
                                    <w:ind w:left="-26"/>
                                    <w:rPr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638175" cy="772160"/>
                                        <wp:effectExtent l="0" t="0" r="9525" b="8890"/>
                                        <wp:docPr id="2049" name="Image 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9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8175" cy="772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vAlign w:val="center"/>
                                </w:tcPr>
                                <w:p w:rsidR="00A9410A" w:rsidRDefault="00A9410A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REPUBLIQUE GABONAISE</w:t>
                                  </w:r>
                                </w:p>
                                <w:p w:rsidR="00A9410A" w:rsidRDefault="00A9410A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Ministère des Eaux et Forêts</w:t>
                                  </w:r>
                                </w:p>
                                <w:p w:rsidR="00A9410A" w:rsidRDefault="00A9410A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Secrétariat Général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9410A" w:rsidRDefault="00A9410A">
                                  <w:pPr>
                                    <w:rPr>
                                      <w:color w:val="525252"/>
                                      <w:sz w:val="18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A9410A" w:rsidRDefault="00A9410A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A9410A" w:rsidRDefault="00A9410A">
                                  <w:pPr>
                                    <w:ind w:left="34"/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525252"/>
                                      <w:sz w:val="18"/>
                                      <w:lang w:val="fr-FR" w:eastAsia="fr-FR"/>
                                    </w:rPr>
                                    <w:drawing>
                                      <wp:inline distT="0" distB="0" distL="0" distR="0">
                                        <wp:extent cx="733425" cy="812800"/>
                                        <wp:effectExtent l="0" t="0" r="9525" b="6350"/>
                                        <wp:docPr id="2050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13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3425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A9410A" w:rsidRDefault="00A9410A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CONSERVATION JUSTICE </w:t>
                                  </w:r>
                                </w:p>
                                <w:p w:rsidR="00A9410A" w:rsidRDefault="00A9410A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 xml:space="preserve"> (+241) 074 23 38 65 </w:t>
                                  </w:r>
                                </w:p>
                                <w:p w:rsidR="00A9410A" w:rsidRDefault="00A9410A" w:rsidP="005B5097">
                                  <w:pPr>
                                    <w:ind w:left="34"/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  <w:lang w:val="fr-FR"/>
                                    </w:rPr>
                                    <w:t>luc@conservation-justice.org</w:t>
                                  </w:r>
                                </w:p>
                                <w:p w:rsidR="00A9410A" w:rsidRDefault="00A9410A" w:rsidP="005B5097">
                                  <w:pPr>
                                    <w:rPr>
                                      <w:noProof/>
                                      <w:color w:val="525252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z w:val="16"/>
                                    </w:rPr>
                                    <w:t>www.conservation-justice.org</w:t>
                                  </w:r>
                                </w:p>
                              </w:tc>
                            </w:tr>
                          </w:tbl>
                          <w:p w:rsidR="00A9410A" w:rsidRPr="009D1CCE" w:rsidRDefault="00A9410A">
                            <w:pPr>
                              <w:pStyle w:val="En-tte"/>
                              <w:tabs>
                                <w:tab w:val="clear" w:pos="9072"/>
                              </w:tabs>
                              <w:ind w:left="426" w:right="2259"/>
                              <w:rPr>
                                <w:b/>
                                <w:color w:val="0D0D0D"/>
                                <w:sz w:val="56"/>
                                <w:szCs w:val="16"/>
                                <w:lang w:val="fr-FR"/>
                              </w:rPr>
                            </w:pPr>
                            <w:r w:rsidRPr="009D1CCE">
                              <w:rPr>
                                <w:b/>
                                <w:color w:val="0D0D0D"/>
                                <w:sz w:val="44"/>
                                <w:szCs w:val="16"/>
                                <w:lang w:val="fr-FR"/>
                              </w:rPr>
                              <w:t>Projet RALFF</w:t>
                            </w:r>
                          </w:p>
                          <w:p w:rsidR="00A9410A" w:rsidRDefault="00A9410A">
                            <w:pPr>
                              <w:ind w:left="426"/>
                              <w:rPr>
                                <w:color w:val="0D0D0D"/>
                                <w:lang w:val="fr-FR"/>
                              </w:rPr>
                            </w:pPr>
                            <w:r>
                              <w:t>Renforcement de l’application de la Loi sur la Faune et la Flore en Afrique Centrale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.5pt;margin-top:-74.95pt;width:597pt;height:187.5pt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" stroked="f">
                <v:textbox>
                  <w:txbxContent>
                    <w:tbl>
                      <w:tblPr>
                        <w:tblStyle w:val="Grilledutableau1"/>
                        <w:tblW w:w="11448" w:type="dxa"/>
                        <w:tblInd w:w="284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FFFFFF"/>
                        <w:tblLayout w:type="fixed"/>
                        <w:tblLook w:val="0480" w:firstRow="0" w:lastRow="0" w:firstColumn="1" w:lastColumn="0" w:noHBand="0" w:noVBand="1"/>
                      </w:tblPr>
                      <w:tblGrid>
                        <w:gridCol w:w="1134"/>
                        <w:gridCol w:w="2234"/>
                        <w:gridCol w:w="1276"/>
                        <w:gridCol w:w="2835"/>
                        <w:gridCol w:w="1417"/>
                        <w:gridCol w:w="2552"/>
                      </w:tblGrid>
                      <w:tr w:rsidR="00A9410A" w:rsidTr="005B5097">
                        <w:trPr>
                          <w:trHeight w:val="1385"/>
                        </w:trPr>
                        <w:tc>
                          <w:tcPr>
                            <w:tcW w:w="1134" w:type="dxa"/>
                            <w:hideMark/>
                          </w:tcPr>
                          <w:p w:rsidR="00A9410A" w:rsidRDefault="00A9410A">
                            <w:pPr>
                              <w:ind w:left="-26"/>
                              <w:rPr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638175" cy="772160"/>
                                  <wp:effectExtent l="0" t="0" r="9525" b="8890"/>
                                  <wp:docPr id="2049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9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772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34" w:type="dxa"/>
                            <w:vAlign w:val="center"/>
                          </w:tcPr>
                          <w:p w:rsidR="00A9410A" w:rsidRDefault="00A9410A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REPUBLIQUE GABONAISE</w:t>
                            </w:r>
                          </w:p>
                          <w:p w:rsidR="00A9410A" w:rsidRDefault="00A9410A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Ministère des Eaux et Forêts</w:t>
                            </w:r>
                          </w:p>
                          <w:p w:rsidR="00A9410A" w:rsidRDefault="00A9410A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Secrétariat Général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9410A" w:rsidRDefault="00A9410A">
                            <w:pPr>
                              <w:rPr>
                                <w:color w:val="525252"/>
                                <w:sz w:val="18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A9410A" w:rsidRDefault="00A9410A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A9410A" w:rsidRDefault="00A9410A">
                            <w:pPr>
                              <w:ind w:left="34"/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color w:val="525252"/>
                                <w:sz w:val="18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733425" cy="812800"/>
                                  <wp:effectExtent l="0" t="0" r="9525" b="6350"/>
                                  <wp:docPr id="2050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13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3425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A9410A" w:rsidRDefault="00A9410A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CONSERVATION JUSTICE </w:t>
                            </w:r>
                          </w:p>
                          <w:p w:rsidR="00A9410A" w:rsidRDefault="00A9410A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 xml:space="preserve"> (+241) 074 23 38 65 </w:t>
                            </w:r>
                          </w:p>
                          <w:p w:rsidR="00A9410A" w:rsidRDefault="00A9410A" w:rsidP="005B5097">
                            <w:pPr>
                              <w:ind w:left="34"/>
                              <w:rPr>
                                <w:color w:val="525252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  <w:lang w:val="fr-FR"/>
                              </w:rPr>
                              <w:t>luc@conservation-justice.org</w:t>
                            </w:r>
                          </w:p>
                          <w:p w:rsidR="00A9410A" w:rsidRDefault="00A9410A" w:rsidP="005B5097">
                            <w:pPr>
                              <w:rPr>
                                <w:noProof/>
                                <w:color w:val="525252"/>
                                <w:sz w:val="18"/>
                              </w:rPr>
                            </w:pPr>
                            <w:r>
                              <w:rPr>
                                <w:color w:val="525252"/>
                                <w:sz w:val="16"/>
                              </w:rPr>
                              <w:t>www.conservation-justice.org</w:t>
                            </w:r>
                          </w:p>
                        </w:tc>
                      </w:tr>
                    </w:tbl>
                    <w:p w:rsidR="00A9410A" w:rsidRPr="009D1CCE" w:rsidRDefault="00A9410A">
                      <w:pPr>
                        <w:pStyle w:val="En-tte"/>
                        <w:tabs>
                          <w:tab w:val="clear" w:pos="9072"/>
                        </w:tabs>
                        <w:ind w:left="426" w:right="2259"/>
                        <w:rPr>
                          <w:b/>
                          <w:color w:val="0D0D0D"/>
                          <w:sz w:val="56"/>
                          <w:szCs w:val="16"/>
                          <w:lang w:val="fr-FR"/>
                        </w:rPr>
                      </w:pPr>
                      <w:r w:rsidRPr="009D1CCE">
                        <w:rPr>
                          <w:b/>
                          <w:color w:val="0D0D0D"/>
                          <w:sz w:val="44"/>
                          <w:szCs w:val="16"/>
                          <w:lang w:val="fr-FR"/>
                        </w:rPr>
                        <w:t>Projet RALFF</w:t>
                      </w:r>
                    </w:p>
                    <w:p w:rsidR="00A9410A" w:rsidRDefault="00A9410A">
                      <w:pPr>
                        <w:ind w:left="426"/>
                        <w:rPr>
                          <w:color w:val="0D0D0D"/>
                          <w:lang w:val="fr-FR"/>
                        </w:rPr>
                      </w:pPr>
                      <w:r>
                        <w:t>Renforcement de l’application de la Loi sur la Faune et la Flore en Afrique Centrale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-675640</wp:posOffset>
                </wp:positionV>
                <wp:extent cx="3181350" cy="581025"/>
                <wp:effectExtent l="0" t="0" r="0" b="0"/>
                <wp:wrapNone/>
                <wp:docPr id="1846259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1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634F" id="Rectangle 3" o:spid="_x0000_s1026" style="position:absolute;margin-left:94.5pt;margin-top:-53.2pt;width:250.5pt;height:45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" stroked="f"/>
            </w:pict>
          </mc:Fallback>
        </mc:AlternateContent>
      </w:r>
      <w:r w:rsidR="00D46E78" w:rsidRPr="00682A96">
        <w:rPr>
          <w:rStyle w:val="Accentuation"/>
          <w:i w:val="0"/>
        </w:rPr>
        <w:t>-</w:t>
      </w:r>
    </w:p>
    <w:p w:rsidR="00CC204D" w:rsidRPr="00682A96" w:rsidRDefault="00CC204D" w:rsidP="006B2C9A">
      <w:pPr>
        <w:jc w:val="both"/>
        <w:rPr>
          <w:rStyle w:val="Accentuation"/>
          <w:i w:val="0"/>
        </w:rPr>
      </w:pPr>
    </w:p>
    <w:p w:rsidR="00CC204D" w:rsidRPr="00682A96" w:rsidRDefault="00CC204D" w:rsidP="006B2C9A">
      <w:pPr>
        <w:jc w:val="both"/>
        <w:rPr>
          <w:rStyle w:val="Accentuation"/>
          <w:i w:val="0"/>
        </w:rPr>
      </w:pPr>
    </w:p>
    <w:p w:rsidR="00CC204D" w:rsidRPr="00682A96" w:rsidRDefault="00CC204D" w:rsidP="006B2C9A">
      <w:pPr>
        <w:jc w:val="both"/>
        <w:rPr>
          <w:rStyle w:val="Accentuation"/>
          <w:i w:val="0"/>
        </w:rPr>
      </w:pPr>
    </w:p>
    <w:p w:rsidR="00CC204D" w:rsidRPr="00682A96" w:rsidRDefault="00CC204D" w:rsidP="006B2C9A">
      <w:pPr>
        <w:jc w:val="both"/>
        <w:rPr>
          <w:rStyle w:val="Accentuation"/>
          <w:i w:val="0"/>
        </w:rPr>
      </w:pPr>
    </w:p>
    <w:p w:rsidR="00CC204D" w:rsidRPr="00682A96" w:rsidRDefault="00CC204D" w:rsidP="006B2C9A">
      <w:pPr>
        <w:jc w:val="both"/>
        <w:rPr>
          <w:rStyle w:val="Accentuation"/>
          <w:i w:val="0"/>
        </w:rPr>
      </w:pPr>
    </w:p>
    <w:p w:rsidR="00CC204D" w:rsidRPr="00682A96" w:rsidRDefault="00CC204D" w:rsidP="006B2C9A">
      <w:pPr>
        <w:jc w:val="both"/>
        <w:rPr>
          <w:rStyle w:val="Accentuation"/>
          <w:i w:val="0"/>
        </w:rPr>
      </w:pPr>
    </w:p>
    <w:p w:rsidR="00CC204D" w:rsidRPr="00682A96" w:rsidRDefault="00CC204D" w:rsidP="0016505E">
      <w:pPr>
        <w:jc w:val="center"/>
        <w:rPr>
          <w:rStyle w:val="Accentuation"/>
          <w:i w:val="0"/>
        </w:rPr>
      </w:pPr>
    </w:p>
    <w:p w:rsidR="009D1CCE" w:rsidRPr="00682A96" w:rsidRDefault="009D1CCE" w:rsidP="0016505E">
      <w:pPr>
        <w:jc w:val="center"/>
        <w:rPr>
          <w:b/>
          <w:bCs/>
        </w:rPr>
      </w:pPr>
      <w:r w:rsidRPr="00682A96">
        <w:rPr>
          <w:b/>
          <w:bCs/>
        </w:rPr>
        <w:t xml:space="preserve">Appui à la </w:t>
      </w:r>
      <w:r w:rsidR="00B84130" w:rsidRPr="00682A96">
        <w:rPr>
          <w:b/>
          <w:bCs/>
        </w:rPr>
        <w:t>Lutte contre l’exploitation forestière illégale</w:t>
      </w:r>
    </w:p>
    <w:p w:rsidR="00CC204D" w:rsidRPr="00682A96" w:rsidRDefault="009D1CCE" w:rsidP="0016505E">
      <w:pPr>
        <w:ind w:left="426"/>
        <w:jc w:val="center"/>
        <w:rPr>
          <w:b/>
          <w:bCs/>
        </w:rPr>
      </w:pPr>
      <w:r w:rsidRPr="00682A96">
        <w:rPr>
          <w:b/>
          <w:bCs/>
        </w:rPr>
        <w:t>ALEFI</w:t>
      </w:r>
    </w:p>
    <w:p w:rsidR="000460B6" w:rsidRPr="00682A96" w:rsidRDefault="000460B6" w:rsidP="0016505E">
      <w:pPr>
        <w:ind w:left="426"/>
        <w:jc w:val="center"/>
        <w:rPr>
          <w:b/>
          <w:bCs/>
        </w:rPr>
      </w:pPr>
    </w:p>
    <w:p w:rsidR="000460B6" w:rsidRPr="00682A96" w:rsidRDefault="00A9410A" w:rsidP="0016505E">
      <w:pPr>
        <w:jc w:val="center"/>
        <w:rPr>
          <w:b/>
          <w:lang w:val="fr-FR"/>
        </w:rPr>
      </w:pPr>
      <w:r>
        <w:rPr>
          <w:b/>
          <w:lang w:val="fr-FR"/>
        </w:rPr>
        <w:t>Rapport Mensuel Avril</w:t>
      </w:r>
      <w:r w:rsidR="00132E04">
        <w:rPr>
          <w:b/>
          <w:lang w:val="fr-FR"/>
        </w:rPr>
        <w:t xml:space="preserve"> 202</w:t>
      </w:r>
      <w:r w:rsidR="006028DD">
        <w:rPr>
          <w:b/>
          <w:lang w:val="fr-FR"/>
        </w:rPr>
        <w:t>4</w:t>
      </w:r>
    </w:p>
    <w:p w:rsidR="000460B6" w:rsidRPr="00682A96" w:rsidRDefault="000460B6" w:rsidP="0016505E">
      <w:pPr>
        <w:jc w:val="center"/>
        <w:rPr>
          <w:lang w:val="fr-FR"/>
        </w:rPr>
      </w:pPr>
      <w:r w:rsidRPr="00682A96">
        <w:rPr>
          <w:lang w:val="fr-FR"/>
        </w:rPr>
        <w:t>Conservation Justice</w:t>
      </w:r>
    </w:p>
    <w:p w:rsidR="000460B6" w:rsidRPr="00682A96" w:rsidRDefault="000460B6" w:rsidP="006B2C9A">
      <w:pPr>
        <w:ind w:left="426"/>
        <w:jc w:val="both"/>
        <w:rPr>
          <w:rStyle w:val="Accentuation"/>
          <w:b/>
          <w:bCs/>
        </w:rPr>
      </w:pPr>
    </w:p>
    <w:p w:rsidR="000460B6" w:rsidRPr="00682A96" w:rsidRDefault="006A575E" w:rsidP="0016505E">
      <w:pPr>
        <w:jc w:val="center"/>
        <w:rPr>
          <w:rStyle w:val="Accentuation"/>
          <w:i w:val="0"/>
        </w:rPr>
      </w:pPr>
      <w:r w:rsidRPr="00682A96">
        <w:rPr>
          <w:rStyle w:val="Accentuation"/>
          <w:i w:val="0"/>
        </w:rPr>
        <w:t>SOMMAIRE</w:t>
      </w:r>
    </w:p>
    <w:p w:rsidR="00CC204D" w:rsidRPr="00682A96" w:rsidRDefault="00CC204D" w:rsidP="006B2C9A">
      <w:pPr>
        <w:jc w:val="both"/>
        <w:rPr>
          <w:rStyle w:val="Accentuation"/>
          <w:i w:val="0"/>
        </w:rPr>
      </w:pPr>
    </w:p>
    <w:p w:rsidR="00142035" w:rsidRPr="00682A96" w:rsidRDefault="00113A5A" w:rsidP="006B2C9A">
      <w:pPr>
        <w:pStyle w:val="TM1"/>
        <w:jc w:val="both"/>
        <w:rPr>
          <w:rFonts w:eastAsiaTheme="minorEastAsia"/>
          <w:lang w:val="fr-FR" w:eastAsia="fr-FR" w:bidi="ar-SA"/>
        </w:rPr>
      </w:pPr>
      <w:r w:rsidRPr="00682A96">
        <w:rPr>
          <w:rStyle w:val="Accentuation"/>
          <w:i w:val="0"/>
        </w:rPr>
        <w:fldChar w:fldCharType="begin"/>
      </w:r>
      <w:r w:rsidR="00142035" w:rsidRPr="00682A96">
        <w:rPr>
          <w:rStyle w:val="Accentuation"/>
          <w:i w:val="0"/>
        </w:rPr>
        <w:instrText xml:space="preserve"> TOC \o "1-3" \h \z \u </w:instrText>
      </w:r>
      <w:r w:rsidRPr="00682A96">
        <w:rPr>
          <w:rStyle w:val="Accentuation"/>
          <w:i w:val="0"/>
        </w:rPr>
        <w:fldChar w:fldCharType="separate"/>
      </w:r>
      <w:hyperlink w:anchor="_Toc118989098" w:history="1">
        <w:r w:rsidR="00142035" w:rsidRPr="00682A96">
          <w:rPr>
            <w:rStyle w:val="Lienhypertexte"/>
            <w:i/>
          </w:rPr>
          <w:t>1. Points principaux</w:t>
        </w:r>
        <w:r w:rsidR="00142035" w:rsidRPr="00682A96">
          <w:rPr>
            <w:webHidden/>
          </w:rPr>
          <w:tab/>
        </w:r>
        <w:r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_Toc118989098 \h </w:instrText>
        </w:r>
        <w:r w:rsidRPr="00682A96">
          <w:rPr>
            <w:webHidden/>
          </w:rPr>
        </w:r>
        <w:r w:rsidRPr="00682A96">
          <w:rPr>
            <w:webHidden/>
          </w:rPr>
          <w:fldChar w:fldCharType="separate"/>
        </w:r>
        <w:r w:rsidR="00913D36">
          <w:rPr>
            <w:webHidden/>
          </w:rPr>
          <w:t>2</w:t>
        </w:r>
        <w:r w:rsidRPr="00682A96">
          <w:rPr>
            <w:webHidden/>
          </w:rPr>
          <w:fldChar w:fldCharType="end"/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099" w:history="1">
        <w:r w:rsidR="00142035" w:rsidRPr="00682A96">
          <w:rPr>
            <w:rStyle w:val="Lienhypertexte"/>
            <w:i/>
            <w:iCs/>
          </w:rPr>
          <w:t>2. Investigations</w:t>
        </w:r>
        <w:r w:rsidR="00142035" w:rsidRPr="00682A96">
          <w:rPr>
            <w:webHidden/>
          </w:rPr>
          <w:tab/>
        </w:r>
        <w:r w:rsidR="00113A5A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_Toc118989099 \h </w:instrText>
        </w:r>
        <w:r w:rsidR="00113A5A" w:rsidRPr="00682A96">
          <w:rPr>
            <w:webHidden/>
          </w:rPr>
        </w:r>
        <w:r w:rsidR="00113A5A" w:rsidRPr="00682A96">
          <w:rPr>
            <w:webHidden/>
          </w:rPr>
          <w:fldChar w:fldCharType="separate"/>
        </w:r>
        <w:r w:rsidR="00913D36">
          <w:rPr>
            <w:webHidden/>
          </w:rPr>
          <w:t>2</w:t>
        </w:r>
        <w:r w:rsidR="00113A5A" w:rsidRPr="00682A96">
          <w:rPr>
            <w:webHidden/>
          </w:rPr>
          <w:fldChar w:fldCharType="end"/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100" w:history="1">
        <w:r w:rsidR="00142035" w:rsidRPr="00682A96">
          <w:rPr>
            <w:rStyle w:val="Lienhypertexte"/>
            <w:i/>
          </w:rPr>
          <w:t>3. Opérations</w:t>
        </w:r>
        <w:r w:rsidR="00142035" w:rsidRPr="00682A96">
          <w:rPr>
            <w:webHidden/>
          </w:rPr>
          <w:tab/>
        </w:r>
        <w:r w:rsidR="00113A5A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_Toc118989100 \h </w:instrText>
        </w:r>
        <w:r w:rsidR="00113A5A" w:rsidRPr="00682A96">
          <w:rPr>
            <w:webHidden/>
          </w:rPr>
        </w:r>
        <w:r w:rsidR="00113A5A" w:rsidRPr="00682A96">
          <w:rPr>
            <w:webHidden/>
          </w:rPr>
          <w:fldChar w:fldCharType="separate"/>
        </w:r>
        <w:r w:rsidR="00913D36">
          <w:rPr>
            <w:webHidden/>
          </w:rPr>
          <w:t>2</w:t>
        </w:r>
        <w:r w:rsidR="00113A5A" w:rsidRPr="00682A96">
          <w:rPr>
            <w:webHidden/>
          </w:rPr>
          <w:fldChar w:fldCharType="end"/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101" w:history="1">
        <w:r w:rsidR="00142035" w:rsidRPr="00682A96">
          <w:rPr>
            <w:rStyle w:val="Lienhypertexte"/>
            <w:i/>
            <w:iCs/>
          </w:rPr>
          <w:t>4. Département juridique</w:t>
        </w:r>
        <w:r w:rsidR="00142035" w:rsidRPr="00682A96">
          <w:rPr>
            <w:webHidden/>
          </w:rPr>
          <w:tab/>
        </w:r>
        <w:r w:rsidR="00113A5A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_Toc118989101 \h </w:instrText>
        </w:r>
        <w:r w:rsidR="00113A5A" w:rsidRPr="00682A96">
          <w:rPr>
            <w:webHidden/>
          </w:rPr>
        </w:r>
        <w:r w:rsidR="00113A5A" w:rsidRPr="00682A96">
          <w:rPr>
            <w:webHidden/>
          </w:rPr>
          <w:fldChar w:fldCharType="separate"/>
        </w:r>
        <w:r w:rsidR="00913D36">
          <w:rPr>
            <w:webHidden/>
          </w:rPr>
          <w:t>2</w:t>
        </w:r>
        <w:r w:rsidR="00113A5A" w:rsidRPr="00682A96">
          <w:rPr>
            <w:webHidden/>
          </w:rPr>
          <w:fldChar w:fldCharType="end"/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102" w:history="1">
        <w:r w:rsidR="00142035" w:rsidRPr="00682A96">
          <w:rPr>
            <w:rStyle w:val="Lienhypertexte"/>
            <w:i/>
          </w:rPr>
          <w:t>5. Missions</w:t>
        </w:r>
        <w:r w:rsidR="00142035" w:rsidRPr="00682A96">
          <w:rPr>
            <w:webHidden/>
          </w:rPr>
          <w:tab/>
        </w:r>
        <w:r w:rsidR="00113A5A" w:rsidRPr="00682A96">
          <w:rPr>
            <w:webHidden/>
          </w:rPr>
          <w:fldChar w:fldCharType="begin"/>
        </w:r>
        <w:r w:rsidR="00142035" w:rsidRPr="00682A96">
          <w:rPr>
            <w:webHidden/>
          </w:rPr>
          <w:instrText xml:space="preserve"> PAGEREF _Toc118989102 \h </w:instrText>
        </w:r>
        <w:r w:rsidR="00113A5A" w:rsidRPr="00682A96">
          <w:rPr>
            <w:webHidden/>
          </w:rPr>
        </w:r>
        <w:r w:rsidR="00113A5A" w:rsidRPr="00682A96">
          <w:rPr>
            <w:webHidden/>
          </w:rPr>
          <w:fldChar w:fldCharType="separate"/>
        </w:r>
        <w:r w:rsidR="00913D36">
          <w:rPr>
            <w:webHidden/>
          </w:rPr>
          <w:t>3</w:t>
        </w:r>
        <w:r w:rsidR="00113A5A" w:rsidRPr="00682A96">
          <w:rPr>
            <w:webHidden/>
          </w:rPr>
          <w:fldChar w:fldCharType="end"/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103" w:history="1">
        <w:r w:rsidR="00142035" w:rsidRPr="00682A96">
          <w:rPr>
            <w:rStyle w:val="Lienhypertexte"/>
            <w:i/>
            <w:iCs/>
          </w:rPr>
          <w:t>6. Cahiers des Charges Contractuels</w:t>
        </w:r>
        <w:r w:rsidR="00142035" w:rsidRPr="00682A96">
          <w:rPr>
            <w:webHidden/>
          </w:rPr>
          <w:tab/>
        </w:r>
        <w:r w:rsidR="00DC31A9">
          <w:rPr>
            <w:webHidden/>
          </w:rPr>
          <w:t>9</w:t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104" w:history="1">
        <w:r w:rsidR="00142035" w:rsidRPr="00682A96">
          <w:rPr>
            <w:rStyle w:val="Lienhypertexte"/>
            <w:i/>
            <w:iCs/>
          </w:rPr>
          <w:t>7. Communication</w:t>
        </w:r>
        <w:r w:rsidR="00142035" w:rsidRPr="00682A96">
          <w:rPr>
            <w:webHidden/>
          </w:rPr>
          <w:tab/>
        </w:r>
        <w:r w:rsidR="00DC31A9">
          <w:rPr>
            <w:webHidden/>
          </w:rPr>
          <w:t>9</w:t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105" w:history="1">
        <w:r w:rsidR="00142035" w:rsidRPr="00682A96">
          <w:rPr>
            <w:rStyle w:val="Lienhypertexte"/>
            <w:i/>
            <w:iCs/>
          </w:rPr>
          <w:t>8. Relations extérieures</w:t>
        </w:r>
        <w:r w:rsidR="00142035" w:rsidRPr="00682A96">
          <w:rPr>
            <w:webHidden/>
          </w:rPr>
          <w:tab/>
        </w:r>
        <w:r w:rsidR="004F67EB">
          <w:rPr>
            <w:webHidden/>
          </w:rPr>
          <w:t>10</w:t>
        </w:r>
      </w:hyperlink>
    </w:p>
    <w:p w:rsidR="00142035" w:rsidRPr="00682A96" w:rsidRDefault="00000000" w:rsidP="006B2C9A">
      <w:pPr>
        <w:pStyle w:val="TM1"/>
        <w:jc w:val="both"/>
        <w:rPr>
          <w:rFonts w:eastAsiaTheme="minorEastAsia"/>
          <w:lang w:val="fr-FR" w:eastAsia="fr-FR" w:bidi="ar-SA"/>
        </w:rPr>
      </w:pPr>
      <w:hyperlink w:anchor="_Toc118989106" w:history="1">
        <w:r w:rsidR="00142035" w:rsidRPr="00682A96">
          <w:rPr>
            <w:rStyle w:val="Lienhypertexte"/>
            <w:i/>
            <w:iCs/>
          </w:rPr>
          <w:t>9. Conclusion</w:t>
        </w:r>
        <w:r w:rsidR="00142035" w:rsidRPr="00682A96">
          <w:rPr>
            <w:webHidden/>
          </w:rPr>
          <w:tab/>
        </w:r>
        <w:r w:rsidR="00DC31A9">
          <w:rPr>
            <w:webHidden/>
          </w:rPr>
          <w:t>10</w:t>
        </w:r>
      </w:hyperlink>
    </w:p>
    <w:p w:rsidR="00CC204D" w:rsidRPr="00682A96" w:rsidRDefault="00113A5A" w:rsidP="006B2C9A">
      <w:pPr>
        <w:jc w:val="both"/>
        <w:rPr>
          <w:rStyle w:val="Accentuation"/>
          <w:i w:val="0"/>
        </w:rPr>
      </w:pPr>
      <w:r w:rsidRPr="00682A96">
        <w:rPr>
          <w:rStyle w:val="Accentuation"/>
          <w:i w:val="0"/>
          <w:noProof/>
          <w:lang w:bidi="he-IL"/>
        </w:rPr>
        <w:fldChar w:fldCharType="end"/>
      </w:r>
    </w:p>
    <w:p w:rsidR="00A0221B" w:rsidRPr="00682A96" w:rsidRDefault="00A0221B" w:rsidP="006B2C9A">
      <w:pPr>
        <w:tabs>
          <w:tab w:val="right" w:leader="dot" w:pos="9062"/>
        </w:tabs>
        <w:jc w:val="both"/>
        <w:rPr>
          <w:rStyle w:val="Accentuation"/>
          <w:i w:val="0"/>
        </w:rPr>
      </w:pPr>
    </w:p>
    <w:p w:rsidR="00A0221B" w:rsidRPr="00682A96" w:rsidRDefault="00A0221B" w:rsidP="006B2C9A">
      <w:pPr>
        <w:tabs>
          <w:tab w:val="right" w:leader="dot" w:pos="9062"/>
        </w:tabs>
        <w:jc w:val="both"/>
        <w:rPr>
          <w:rStyle w:val="Accentuation"/>
        </w:rPr>
      </w:pPr>
    </w:p>
    <w:p w:rsidR="00F15FC2" w:rsidRPr="00682A96" w:rsidRDefault="00F15FC2" w:rsidP="0016505E">
      <w:pPr>
        <w:tabs>
          <w:tab w:val="left" w:pos="2680"/>
          <w:tab w:val="right" w:leader="dot" w:pos="9062"/>
        </w:tabs>
        <w:jc w:val="center"/>
        <w:rPr>
          <w:rStyle w:val="Accentuation"/>
          <w:i w:val="0"/>
        </w:rPr>
      </w:pPr>
      <w:r w:rsidRPr="00682A96">
        <w:rPr>
          <w:rStyle w:val="Accentuation"/>
          <w:i w:val="0"/>
          <w:noProof/>
          <w:lang w:val="fr-FR" w:eastAsia="fr-FR"/>
        </w:rPr>
        <w:drawing>
          <wp:inline distT="0" distB="0" distL="0" distR="0">
            <wp:extent cx="1359017" cy="906011"/>
            <wp:effectExtent l="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FC2" w:rsidRPr="00682A96" w:rsidRDefault="00F15FC2" w:rsidP="0016505E">
      <w:pPr>
        <w:tabs>
          <w:tab w:val="left" w:pos="2680"/>
          <w:tab w:val="right" w:leader="dot" w:pos="9062"/>
        </w:tabs>
        <w:jc w:val="center"/>
        <w:rPr>
          <w:rStyle w:val="Accentuation"/>
          <w:i w:val="0"/>
          <w:iCs w:val="0"/>
        </w:rPr>
      </w:pPr>
      <w:r w:rsidRPr="00682A96">
        <w:rPr>
          <w:rStyle w:val="Accentuation"/>
          <w:i w:val="0"/>
          <w:iCs w:val="0"/>
        </w:rPr>
        <w:t>Union européenne</w:t>
      </w:r>
    </w:p>
    <w:p w:rsidR="00F15FC2" w:rsidRPr="00682A96" w:rsidRDefault="00F15FC2" w:rsidP="006B2C9A">
      <w:pPr>
        <w:tabs>
          <w:tab w:val="left" w:pos="2680"/>
          <w:tab w:val="right" w:leader="dot" w:pos="9062"/>
        </w:tabs>
        <w:jc w:val="both"/>
        <w:rPr>
          <w:rStyle w:val="Accentuation"/>
          <w:i w:val="0"/>
        </w:rPr>
      </w:pPr>
    </w:p>
    <w:p w:rsidR="00F15FC2" w:rsidRPr="00682A96" w:rsidRDefault="00F15FC2" w:rsidP="006B2C9A">
      <w:pPr>
        <w:tabs>
          <w:tab w:val="left" w:pos="2680"/>
          <w:tab w:val="right" w:leader="dot" w:pos="9062"/>
        </w:tabs>
        <w:jc w:val="both"/>
        <w:rPr>
          <w:rStyle w:val="Accentuation"/>
          <w:i w:val="0"/>
        </w:rPr>
      </w:pPr>
    </w:p>
    <w:p w:rsidR="00CC204D" w:rsidRPr="00682A96" w:rsidRDefault="00F15FC2" w:rsidP="006B2C9A">
      <w:pPr>
        <w:tabs>
          <w:tab w:val="left" w:pos="2680"/>
          <w:tab w:val="right" w:leader="dot" w:pos="9062"/>
        </w:tabs>
        <w:jc w:val="both"/>
        <w:rPr>
          <w:rStyle w:val="Accentuation"/>
          <w:i w:val="0"/>
        </w:rPr>
      </w:pPr>
      <w:r w:rsidRPr="00682A96">
        <w:rPr>
          <w:color w:val="000000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  <w:r w:rsidR="00FE3AA7"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1699895</wp:posOffset>
                </wp:positionV>
                <wp:extent cx="6124575" cy="1190625"/>
                <wp:effectExtent l="0" t="0" r="0" b="0"/>
                <wp:wrapNone/>
                <wp:docPr id="1708656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9410A" w:rsidRDefault="00A94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75pt;margin-top:133.85pt;width:482.25pt;height:93.7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" stroked="f">
                <v:textbox>
                  <w:txbxContent>
                    <w:p w:rsidR="00A9410A" w:rsidRDefault="00A9410A"/>
                  </w:txbxContent>
                </v:textbox>
              </v:rect>
            </w:pict>
          </mc:Fallback>
        </mc:AlternateContent>
      </w:r>
      <w:r w:rsidR="00FE3AA7">
        <w:rPr>
          <w:iCs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2057400</wp:posOffset>
                </wp:positionV>
                <wp:extent cx="1190625" cy="447675"/>
                <wp:effectExtent l="0" t="0" r="0" b="0"/>
                <wp:wrapNone/>
                <wp:docPr id="7838115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0B3B6" id="Rectangle 1" o:spid="_x0000_s1026" style="position:absolute;margin-left:375pt;margin-top:162pt;width:93.75pt;height:35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" stroked="f"/>
            </w:pict>
          </mc:Fallback>
        </mc:AlternateContent>
      </w:r>
      <w:r w:rsidR="006A575E" w:rsidRPr="00682A96">
        <w:rPr>
          <w:rStyle w:val="Accentuation"/>
          <w:i w:val="0"/>
        </w:rPr>
        <w:br w:type="page"/>
      </w:r>
    </w:p>
    <w:p w:rsidR="009A5D44" w:rsidRPr="00682A96" w:rsidRDefault="006A575E" w:rsidP="006B2C9A">
      <w:pPr>
        <w:pStyle w:val="Titre1"/>
        <w:rPr>
          <w:rFonts w:ascii="Times New Roman" w:hAnsi="Times New Roman" w:cs="Times New Roman"/>
          <w:i/>
          <w:sz w:val="24"/>
          <w:szCs w:val="24"/>
        </w:rPr>
      </w:pPr>
      <w:bookmarkStart w:id="0" w:name="_Toc118989098"/>
      <w:r w:rsidRPr="00682A96">
        <w:rPr>
          <w:rStyle w:val="Accentuation"/>
          <w:rFonts w:ascii="Times New Roman" w:hAnsi="Times New Roman" w:cs="Times New Roman"/>
          <w:iCs w:val="0"/>
          <w:sz w:val="24"/>
          <w:szCs w:val="24"/>
        </w:rPr>
        <w:lastRenderedPageBreak/>
        <w:t>1. Points principaux</w:t>
      </w:r>
      <w:bookmarkEnd w:id="0"/>
    </w:p>
    <w:p w:rsidR="0027392E" w:rsidRPr="00682A96" w:rsidRDefault="0027392E" w:rsidP="006B2C9A">
      <w:pPr>
        <w:jc w:val="both"/>
        <w:rPr>
          <w:color w:val="000000"/>
          <w:lang w:eastAsia="fr-FR"/>
        </w:rPr>
      </w:pPr>
    </w:p>
    <w:p w:rsidR="00C228B9" w:rsidRPr="00DC22AB" w:rsidRDefault="00C228B9" w:rsidP="00A9410A">
      <w:pPr>
        <w:jc w:val="both"/>
        <w:rPr>
          <w:lang w:val="fr-FR"/>
        </w:rPr>
      </w:pPr>
    </w:p>
    <w:p w:rsidR="0049685E" w:rsidRPr="00FE3AA7" w:rsidRDefault="00FE3AA7" w:rsidP="00FE3AA7">
      <w:pPr>
        <w:pStyle w:val="Paragraphedeliste"/>
        <w:numPr>
          <w:ilvl w:val="0"/>
          <w:numId w:val="28"/>
        </w:numPr>
        <w:jc w:val="both"/>
        <w:rPr>
          <w:b/>
          <w:bCs/>
        </w:rPr>
      </w:pPr>
      <w:r>
        <w:rPr>
          <w:b/>
          <w:bCs/>
        </w:rPr>
        <w:t xml:space="preserve"> Les 2-3 et 5-6 avril, </w:t>
      </w:r>
      <w:r>
        <w:t xml:space="preserve">deux ateliers ont été organisés à </w:t>
      </w:r>
      <w:proofErr w:type="spellStart"/>
      <w:r>
        <w:t>Ovan</w:t>
      </w:r>
      <w:proofErr w:type="spellEnd"/>
      <w:r>
        <w:t xml:space="preserve"> et Boué, dont l’objectif était de renforcer les capacités des membres des CGSP dans le contexte des Cahiers des charges </w:t>
      </w:r>
      <w:proofErr w:type="spellStart"/>
      <w:r>
        <w:t>contracuelles</w:t>
      </w:r>
      <w:proofErr w:type="spellEnd"/>
      <w:r>
        <w:t>.</w:t>
      </w:r>
    </w:p>
    <w:p w:rsidR="00A232D9" w:rsidRPr="00374B51" w:rsidRDefault="00A232D9" w:rsidP="006B2C9A">
      <w:pPr>
        <w:jc w:val="both"/>
      </w:pPr>
    </w:p>
    <w:p w:rsidR="0027392E" w:rsidRPr="00682A96" w:rsidRDefault="0027392E" w:rsidP="006B2C9A">
      <w:pPr>
        <w:jc w:val="both"/>
        <w:rPr>
          <w:rStyle w:val="Accentuation"/>
          <w:b/>
          <w:i w:val="0"/>
        </w:rPr>
      </w:pPr>
    </w:p>
    <w:p w:rsidR="000A591E" w:rsidRPr="00682A96" w:rsidRDefault="000A591E" w:rsidP="006B2C9A">
      <w:pPr>
        <w:pStyle w:val="Titre1"/>
        <w:rPr>
          <w:rStyle w:val="Accentuation"/>
          <w:rFonts w:ascii="Times New Roman" w:hAnsi="Times New Roman" w:cs="Times New Roman"/>
          <w:b w:val="0"/>
          <w:i w:val="0"/>
          <w:sz w:val="24"/>
          <w:szCs w:val="24"/>
        </w:rPr>
      </w:pPr>
      <w:bookmarkStart w:id="1" w:name="_Toc118989099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>2. Investigations</w:t>
      </w:r>
      <w:bookmarkEnd w:id="1"/>
    </w:p>
    <w:p w:rsidR="000A591E" w:rsidRPr="00682A96" w:rsidRDefault="000A591E" w:rsidP="006B2C9A">
      <w:pPr>
        <w:jc w:val="both"/>
        <w:rPr>
          <w:rStyle w:val="Accentuation"/>
          <w:b/>
          <w:i w:val="0"/>
        </w:rPr>
      </w:pPr>
    </w:p>
    <w:p w:rsidR="000A591E" w:rsidRPr="00682A96" w:rsidRDefault="000A591E" w:rsidP="006B2C9A">
      <w:pPr>
        <w:spacing w:after="240" w:line="276" w:lineRule="auto"/>
        <w:jc w:val="both"/>
        <w:rPr>
          <w:i/>
          <w:lang w:val="fr-FR"/>
        </w:rPr>
      </w:pPr>
      <w:r w:rsidRPr="00682A96">
        <w:rPr>
          <w:i/>
          <w:lang w:val="fr-FR"/>
        </w:rPr>
        <w:t>Indicateurs :</w:t>
      </w:r>
    </w:p>
    <w:tbl>
      <w:tblPr>
        <w:tblStyle w:val="Grilledetableauclaire2"/>
        <w:tblW w:w="0" w:type="auto"/>
        <w:tblLook w:val="04A0" w:firstRow="1" w:lastRow="0" w:firstColumn="1" w:lastColumn="0" w:noHBand="0" w:noVBand="1"/>
      </w:tblPr>
      <w:tblGrid>
        <w:gridCol w:w="4474"/>
        <w:gridCol w:w="4445"/>
      </w:tblGrid>
      <w:tr w:rsidR="000A591E" w:rsidRPr="00682A96" w:rsidTr="004E4D64">
        <w:tc>
          <w:tcPr>
            <w:tcW w:w="4531" w:type="dxa"/>
          </w:tcPr>
          <w:p w:rsidR="000A591E" w:rsidRPr="00682A96" w:rsidRDefault="000A591E" w:rsidP="006B2C9A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>Nombre d’investigations menées</w:t>
            </w:r>
          </w:p>
        </w:tc>
        <w:tc>
          <w:tcPr>
            <w:tcW w:w="4531" w:type="dxa"/>
          </w:tcPr>
          <w:p w:rsidR="000A591E" w:rsidRPr="00682A96" w:rsidRDefault="00F169D6" w:rsidP="006B2C9A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>
              <w:rPr>
                <w:i/>
                <w:lang w:val="fr-FR"/>
              </w:rPr>
              <w:t>0</w:t>
            </w:r>
          </w:p>
        </w:tc>
      </w:tr>
      <w:tr w:rsidR="000A591E" w:rsidRPr="00682A96" w:rsidTr="004E4D64">
        <w:tc>
          <w:tcPr>
            <w:tcW w:w="4531" w:type="dxa"/>
          </w:tcPr>
          <w:p w:rsidR="000A591E" w:rsidRPr="00682A96" w:rsidRDefault="000A591E" w:rsidP="006B2C9A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>Investigation ayant menées à une opération</w:t>
            </w:r>
          </w:p>
        </w:tc>
        <w:tc>
          <w:tcPr>
            <w:tcW w:w="4531" w:type="dxa"/>
          </w:tcPr>
          <w:p w:rsidR="000A591E" w:rsidRPr="00682A96" w:rsidRDefault="0029558B" w:rsidP="006B2C9A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 w:rsidRPr="00682A96">
              <w:rPr>
                <w:i/>
                <w:lang w:val="fr-FR"/>
              </w:rPr>
              <w:t>0</w:t>
            </w:r>
          </w:p>
        </w:tc>
      </w:tr>
      <w:tr w:rsidR="000A591E" w:rsidRPr="00682A96" w:rsidTr="004E4D64">
        <w:tc>
          <w:tcPr>
            <w:tcW w:w="4531" w:type="dxa"/>
          </w:tcPr>
          <w:p w:rsidR="000A591E" w:rsidRPr="00682A96" w:rsidRDefault="000A591E" w:rsidP="006B2C9A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 xml:space="preserve">Nombre de </w:t>
            </w:r>
            <w:r w:rsidR="00600EA8" w:rsidRPr="00682A96">
              <w:rPr>
                <w:i/>
                <w:lang w:val="fr-FR"/>
              </w:rPr>
              <w:t>contrevenants</w:t>
            </w:r>
            <w:r w:rsidRPr="00682A96">
              <w:rPr>
                <w:i/>
                <w:lang w:val="fr-FR"/>
              </w:rPr>
              <w:t xml:space="preserve"> identifiés</w:t>
            </w:r>
          </w:p>
        </w:tc>
        <w:tc>
          <w:tcPr>
            <w:tcW w:w="4531" w:type="dxa"/>
          </w:tcPr>
          <w:p w:rsidR="000A591E" w:rsidRPr="00682A96" w:rsidRDefault="000F0A2F" w:rsidP="006B2C9A">
            <w:pPr>
              <w:spacing w:line="276" w:lineRule="auto"/>
              <w:jc w:val="both"/>
              <w:rPr>
                <w:i/>
                <w:lang w:val="fr-FR"/>
              </w:rPr>
            </w:pPr>
            <w:r>
              <w:rPr>
                <w:i/>
                <w:lang w:val="fr-FR"/>
              </w:rPr>
              <w:t>0</w:t>
            </w:r>
          </w:p>
        </w:tc>
      </w:tr>
    </w:tbl>
    <w:p w:rsidR="00735BB7" w:rsidRDefault="00735BB7" w:rsidP="006B2C9A">
      <w:pPr>
        <w:jc w:val="both"/>
        <w:rPr>
          <w:rStyle w:val="Accentuation"/>
          <w:i w:val="0"/>
          <w:lang w:val="fr-FR"/>
        </w:rPr>
      </w:pPr>
    </w:p>
    <w:p w:rsidR="000F0A2F" w:rsidRDefault="00F169D6" w:rsidP="006B2C9A">
      <w:pPr>
        <w:jc w:val="both"/>
        <w:rPr>
          <w:rStyle w:val="Accentuation"/>
          <w:i w:val="0"/>
          <w:lang w:val="fr-FR"/>
        </w:rPr>
      </w:pPr>
      <w:r>
        <w:rPr>
          <w:rStyle w:val="Accentuation"/>
          <w:i w:val="0"/>
          <w:lang w:val="fr-FR"/>
        </w:rPr>
        <w:t>Aucune</w:t>
      </w:r>
      <w:r w:rsidR="00465753">
        <w:rPr>
          <w:rStyle w:val="Accentuation"/>
          <w:i w:val="0"/>
          <w:lang w:val="fr-FR"/>
        </w:rPr>
        <w:t xml:space="preserve"> activité </w:t>
      </w:r>
      <w:r>
        <w:rPr>
          <w:rStyle w:val="Accentuation"/>
          <w:i w:val="0"/>
          <w:lang w:val="fr-FR"/>
        </w:rPr>
        <w:t>d’investigation ALEFI n’a</w:t>
      </w:r>
      <w:r w:rsidR="00465753">
        <w:rPr>
          <w:rStyle w:val="Accentuation"/>
          <w:i w:val="0"/>
          <w:lang w:val="fr-FR"/>
        </w:rPr>
        <w:t xml:space="preserve"> été menée au </w:t>
      </w:r>
      <w:r w:rsidR="008C6086">
        <w:rPr>
          <w:rStyle w:val="Accentuation"/>
          <w:i w:val="0"/>
          <w:lang w:val="fr-FR"/>
        </w:rPr>
        <w:t>cours du mois d’avril</w:t>
      </w:r>
      <w:r>
        <w:rPr>
          <w:rStyle w:val="Accentuation"/>
          <w:i w:val="0"/>
          <w:lang w:val="fr-FR"/>
        </w:rPr>
        <w:t xml:space="preserve"> 2024. </w:t>
      </w:r>
    </w:p>
    <w:p w:rsidR="00D73275" w:rsidRDefault="00D73275" w:rsidP="006B2C9A">
      <w:pPr>
        <w:jc w:val="both"/>
        <w:rPr>
          <w:rStyle w:val="Accentuation"/>
          <w:i w:val="0"/>
          <w:lang w:val="fr-FR"/>
        </w:rPr>
      </w:pPr>
    </w:p>
    <w:p w:rsidR="00D73275" w:rsidRPr="00682A96" w:rsidRDefault="00D73275" w:rsidP="006B2C9A">
      <w:pPr>
        <w:jc w:val="both"/>
        <w:rPr>
          <w:rStyle w:val="Accentuation"/>
          <w:i w:val="0"/>
          <w:lang w:val="fr-FR"/>
        </w:rPr>
      </w:pPr>
    </w:p>
    <w:p w:rsidR="000A591E" w:rsidRPr="00682A96" w:rsidRDefault="000A591E" w:rsidP="006B2C9A">
      <w:pPr>
        <w:pStyle w:val="Titre1"/>
        <w:rPr>
          <w:rStyle w:val="Accentuation"/>
          <w:rFonts w:ascii="Times New Roman" w:hAnsi="Times New Roman" w:cs="Times New Roman"/>
          <w:iCs w:val="0"/>
          <w:sz w:val="24"/>
          <w:szCs w:val="24"/>
        </w:rPr>
      </w:pPr>
      <w:bookmarkStart w:id="2" w:name="_Toc118989100"/>
      <w:r w:rsidRPr="00682A96">
        <w:rPr>
          <w:rStyle w:val="Accentuation"/>
          <w:rFonts w:ascii="Times New Roman" w:hAnsi="Times New Roman" w:cs="Times New Roman"/>
          <w:iCs w:val="0"/>
          <w:sz w:val="24"/>
          <w:szCs w:val="24"/>
        </w:rPr>
        <w:t>3. Opérations</w:t>
      </w:r>
      <w:bookmarkEnd w:id="2"/>
    </w:p>
    <w:p w:rsidR="000A591E" w:rsidRPr="00682A96" w:rsidRDefault="000A591E" w:rsidP="006B2C9A">
      <w:pPr>
        <w:jc w:val="both"/>
        <w:rPr>
          <w:rStyle w:val="Accentuation"/>
          <w:i w:val="0"/>
        </w:rPr>
      </w:pPr>
    </w:p>
    <w:p w:rsidR="000A591E" w:rsidRPr="00682A96" w:rsidRDefault="000A591E" w:rsidP="006B2C9A">
      <w:pPr>
        <w:spacing w:after="240" w:line="276" w:lineRule="auto"/>
        <w:jc w:val="both"/>
        <w:rPr>
          <w:i/>
          <w:lang w:val="fr-FR"/>
        </w:rPr>
      </w:pPr>
      <w:r w:rsidRPr="00682A96">
        <w:rPr>
          <w:i/>
          <w:lang w:val="fr-FR"/>
        </w:rPr>
        <w:t>Indicateurs :</w:t>
      </w:r>
    </w:p>
    <w:tbl>
      <w:tblPr>
        <w:tblStyle w:val="Grilledetableauclaire2"/>
        <w:tblW w:w="8931" w:type="dxa"/>
        <w:tblInd w:w="108" w:type="dxa"/>
        <w:tblLook w:val="04A0" w:firstRow="1" w:lastRow="0" w:firstColumn="1" w:lastColumn="0" w:noHBand="0" w:noVBand="1"/>
      </w:tblPr>
      <w:tblGrid>
        <w:gridCol w:w="4453"/>
        <w:gridCol w:w="4478"/>
      </w:tblGrid>
      <w:tr w:rsidR="000A591E" w:rsidRPr="00682A96" w:rsidTr="004E4D64">
        <w:trPr>
          <w:trHeight w:val="70"/>
        </w:trPr>
        <w:tc>
          <w:tcPr>
            <w:tcW w:w="4453" w:type="dxa"/>
          </w:tcPr>
          <w:p w:rsidR="000A591E" w:rsidRPr="00682A96" w:rsidRDefault="000A591E" w:rsidP="006B2C9A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>Nombre d’opérations menées ce mois</w:t>
            </w:r>
          </w:p>
        </w:tc>
        <w:tc>
          <w:tcPr>
            <w:tcW w:w="4478" w:type="dxa"/>
          </w:tcPr>
          <w:p w:rsidR="000A591E" w:rsidRPr="00682A96" w:rsidRDefault="00D93FC9" w:rsidP="006B2C9A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 w:rsidRPr="00682A96">
              <w:rPr>
                <w:i/>
                <w:lang w:val="fr-FR"/>
              </w:rPr>
              <w:t>0</w:t>
            </w:r>
          </w:p>
        </w:tc>
      </w:tr>
      <w:tr w:rsidR="000A591E" w:rsidRPr="00682A96" w:rsidTr="004E4D64">
        <w:trPr>
          <w:trHeight w:val="231"/>
        </w:trPr>
        <w:tc>
          <w:tcPr>
            <w:tcW w:w="4453" w:type="dxa"/>
          </w:tcPr>
          <w:p w:rsidR="000A591E" w:rsidRPr="00682A96" w:rsidRDefault="000A591E" w:rsidP="006B2C9A">
            <w:pPr>
              <w:spacing w:line="276" w:lineRule="auto"/>
              <w:jc w:val="both"/>
              <w:rPr>
                <w:i/>
                <w:lang w:val="fr-FR"/>
              </w:rPr>
            </w:pPr>
            <w:r w:rsidRPr="00682A96">
              <w:rPr>
                <w:i/>
                <w:lang w:val="fr-FR"/>
              </w:rPr>
              <w:t xml:space="preserve">Nombre de personnes arrêtées </w:t>
            </w:r>
          </w:p>
        </w:tc>
        <w:tc>
          <w:tcPr>
            <w:tcW w:w="4478" w:type="dxa"/>
          </w:tcPr>
          <w:p w:rsidR="000A591E" w:rsidRPr="00682A96" w:rsidRDefault="00D93FC9" w:rsidP="006B2C9A">
            <w:pPr>
              <w:spacing w:line="276" w:lineRule="auto"/>
              <w:jc w:val="both"/>
              <w:rPr>
                <w:i/>
                <w:highlight w:val="yellow"/>
                <w:lang w:val="fr-FR"/>
              </w:rPr>
            </w:pPr>
            <w:r w:rsidRPr="00682A96">
              <w:rPr>
                <w:i/>
                <w:lang w:val="fr-FR"/>
              </w:rPr>
              <w:t>0</w:t>
            </w:r>
          </w:p>
        </w:tc>
      </w:tr>
    </w:tbl>
    <w:p w:rsidR="00AC2E33" w:rsidRPr="00682A96" w:rsidRDefault="00AC2E33" w:rsidP="006B2C9A">
      <w:pPr>
        <w:pStyle w:val="Sansinterligne"/>
        <w:jc w:val="both"/>
        <w:rPr>
          <w:rStyle w:val="Accentuation"/>
          <w:rFonts w:ascii="Times New Roman" w:hAnsi="Times New Roman"/>
          <w:i w:val="0"/>
          <w:sz w:val="24"/>
          <w:szCs w:val="24"/>
        </w:rPr>
      </w:pPr>
    </w:p>
    <w:p w:rsidR="004E7E22" w:rsidRPr="00C228B9" w:rsidRDefault="00F169D6" w:rsidP="006B2C9A">
      <w:pPr>
        <w:jc w:val="both"/>
        <w:rPr>
          <w:rStyle w:val="Accentuation"/>
          <w:i w:val="0"/>
          <w:lang w:val="fr-FR"/>
        </w:rPr>
      </w:pPr>
      <w:r>
        <w:rPr>
          <w:rStyle w:val="Accentuation"/>
          <w:i w:val="0"/>
          <w:lang w:val="fr-FR"/>
        </w:rPr>
        <w:t>Au co</w:t>
      </w:r>
      <w:r w:rsidR="008C6086">
        <w:rPr>
          <w:rStyle w:val="Accentuation"/>
          <w:i w:val="0"/>
          <w:lang w:val="fr-FR"/>
        </w:rPr>
        <w:t>urs de ce mois d’avril</w:t>
      </w:r>
      <w:r w:rsidR="00D93FC9" w:rsidRPr="00682A96">
        <w:rPr>
          <w:rStyle w:val="Accentuation"/>
          <w:i w:val="0"/>
          <w:lang w:val="fr-FR"/>
        </w:rPr>
        <w:t>, aucune opération n’</w:t>
      </w:r>
      <w:r w:rsidR="002E4599" w:rsidRPr="00682A96">
        <w:rPr>
          <w:rStyle w:val="Accentuation"/>
          <w:i w:val="0"/>
          <w:lang w:val="fr-FR"/>
        </w:rPr>
        <w:t xml:space="preserve">a été menée. Il n’y a donc pas eu d’arrestation. </w:t>
      </w:r>
    </w:p>
    <w:p w:rsidR="000D2518" w:rsidRPr="00682A96" w:rsidRDefault="000D2518" w:rsidP="006B2C9A">
      <w:pPr>
        <w:jc w:val="both"/>
        <w:rPr>
          <w:rStyle w:val="Accentuation"/>
          <w:i w:val="0"/>
        </w:rPr>
      </w:pPr>
    </w:p>
    <w:p w:rsidR="000D2518" w:rsidRPr="00682A96" w:rsidRDefault="000D2518" w:rsidP="006B2C9A">
      <w:pPr>
        <w:pStyle w:val="Titre1"/>
        <w:rPr>
          <w:rStyle w:val="Accentuation"/>
          <w:rFonts w:ascii="Times New Roman" w:hAnsi="Times New Roman" w:cs="Times New Roman"/>
          <w:sz w:val="24"/>
          <w:szCs w:val="24"/>
        </w:rPr>
      </w:pPr>
      <w:bookmarkStart w:id="3" w:name="_Toc118989101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>4. Département juridique</w:t>
      </w:r>
      <w:bookmarkEnd w:id="3"/>
    </w:p>
    <w:p w:rsidR="000D2518" w:rsidRPr="00682A96" w:rsidRDefault="000D2518" w:rsidP="006B2C9A">
      <w:pPr>
        <w:jc w:val="both"/>
        <w:rPr>
          <w:rStyle w:val="Accentuation"/>
          <w:i w:val="0"/>
        </w:rPr>
      </w:pPr>
    </w:p>
    <w:p w:rsidR="000D2518" w:rsidRPr="00682A96" w:rsidRDefault="000D2518" w:rsidP="006B2C9A">
      <w:pPr>
        <w:jc w:val="both"/>
        <w:rPr>
          <w:rStyle w:val="Accentuation"/>
          <w:i w:val="0"/>
        </w:rPr>
      </w:pPr>
      <w:r w:rsidRPr="00682A96">
        <w:rPr>
          <w:rStyle w:val="Accentuation"/>
          <w:b/>
          <w:i w:val="0"/>
        </w:rPr>
        <w:t>4.1. Suivi des affaires</w:t>
      </w:r>
      <w:r w:rsidRPr="00682A96">
        <w:rPr>
          <w:rStyle w:val="Accentuation"/>
          <w:i w:val="0"/>
        </w:rPr>
        <w:tab/>
      </w:r>
    </w:p>
    <w:p w:rsidR="000D2518" w:rsidRPr="00682A96" w:rsidRDefault="000D2518" w:rsidP="006B2C9A">
      <w:pPr>
        <w:jc w:val="both"/>
        <w:rPr>
          <w:rStyle w:val="Accentuation"/>
          <w:b/>
          <w:i w:val="0"/>
          <w:color w:val="FF0000"/>
        </w:rPr>
      </w:pPr>
    </w:p>
    <w:p w:rsidR="000D2518" w:rsidRPr="00682A96" w:rsidRDefault="000D2518" w:rsidP="006B2C9A">
      <w:pPr>
        <w:jc w:val="both"/>
        <w:rPr>
          <w:rStyle w:val="Accentuation"/>
        </w:rPr>
      </w:pPr>
      <w:r w:rsidRPr="00682A96">
        <w:rPr>
          <w:rStyle w:val="Accentuation"/>
        </w:rPr>
        <w:t>Indicateurs :</w:t>
      </w:r>
    </w:p>
    <w:p w:rsidR="000D2518" w:rsidRPr="00682A96" w:rsidRDefault="000D2518" w:rsidP="006B2C9A">
      <w:pPr>
        <w:jc w:val="both"/>
        <w:rPr>
          <w:rStyle w:val="Accentuation"/>
        </w:rPr>
      </w:pPr>
    </w:p>
    <w:tbl>
      <w:tblPr>
        <w:tblStyle w:val="Grilledetableauclaire1"/>
        <w:tblW w:w="0" w:type="auto"/>
        <w:jc w:val="center"/>
        <w:tblLook w:val="04A0" w:firstRow="1" w:lastRow="0" w:firstColumn="1" w:lastColumn="0" w:noHBand="0" w:noVBand="1"/>
      </w:tblPr>
      <w:tblGrid>
        <w:gridCol w:w="4761"/>
        <w:gridCol w:w="4158"/>
      </w:tblGrid>
      <w:tr w:rsidR="000D2518" w:rsidRPr="00682A96" w:rsidTr="007A2C0C">
        <w:trPr>
          <w:jc w:val="center"/>
        </w:trPr>
        <w:tc>
          <w:tcPr>
            <w:tcW w:w="4794" w:type="dxa"/>
          </w:tcPr>
          <w:p w:rsidR="000D2518" w:rsidRPr="00682A96" w:rsidRDefault="000D2518" w:rsidP="006B2C9A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 xml:space="preserve">Nombre d’affaires suivies                     </w:t>
            </w:r>
          </w:p>
        </w:tc>
        <w:tc>
          <w:tcPr>
            <w:tcW w:w="4200" w:type="dxa"/>
          </w:tcPr>
          <w:p w:rsidR="000D2518" w:rsidRPr="00682A96" w:rsidRDefault="00873096" w:rsidP="006B2C9A">
            <w:pPr>
              <w:jc w:val="both"/>
              <w:rPr>
                <w:rStyle w:val="Accentuation"/>
                <w:i w:val="0"/>
                <w:iCs w:val="0"/>
                <w:color w:val="000000" w:themeColor="text1"/>
              </w:rPr>
            </w:pPr>
            <w:r>
              <w:rPr>
                <w:rStyle w:val="Accentuation"/>
                <w:i w:val="0"/>
                <w:iCs w:val="0"/>
              </w:rPr>
              <w:t>0</w:t>
            </w:r>
          </w:p>
        </w:tc>
      </w:tr>
      <w:tr w:rsidR="000D2518" w:rsidRPr="00682A96" w:rsidTr="007A2C0C">
        <w:trPr>
          <w:jc w:val="center"/>
        </w:trPr>
        <w:tc>
          <w:tcPr>
            <w:tcW w:w="4794" w:type="dxa"/>
          </w:tcPr>
          <w:p w:rsidR="000D2518" w:rsidRPr="00682A96" w:rsidRDefault="000D2518" w:rsidP="006B2C9A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>Nombre de condamnations</w:t>
            </w:r>
          </w:p>
        </w:tc>
        <w:tc>
          <w:tcPr>
            <w:tcW w:w="4200" w:type="dxa"/>
          </w:tcPr>
          <w:p w:rsidR="000D2518" w:rsidRPr="00682A96" w:rsidRDefault="000D2518" w:rsidP="006B2C9A">
            <w:pPr>
              <w:jc w:val="both"/>
              <w:rPr>
                <w:rStyle w:val="Accentuation"/>
                <w:i w:val="0"/>
                <w:iCs w:val="0"/>
                <w:color w:val="000000" w:themeColor="text1"/>
              </w:rPr>
            </w:pPr>
            <w:r w:rsidRPr="00682A96">
              <w:rPr>
                <w:rStyle w:val="Accentuation"/>
                <w:i w:val="0"/>
                <w:iCs w:val="0"/>
                <w:color w:val="000000" w:themeColor="text1"/>
              </w:rPr>
              <w:t>0</w:t>
            </w:r>
          </w:p>
        </w:tc>
      </w:tr>
      <w:tr w:rsidR="000D2518" w:rsidRPr="00682A96" w:rsidTr="007A2C0C">
        <w:trPr>
          <w:jc w:val="center"/>
        </w:trPr>
        <w:tc>
          <w:tcPr>
            <w:tcW w:w="4794" w:type="dxa"/>
          </w:tcPr>
          <w:p w:rsidR="000D2518" w:rsidRPr="00682A96" w:rsidRDefault="000D2518" w:rsidP="006B2C9A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>Affaires enregistrées</w:t>
            </w:r>
          </w:p>
        </w:tc>
        <w:tc>
          <w:tcPr>
            <w:tcW w:w="4200" w:type="dxa"/>
          </w:tcPr>
          <w:p w:rsidR="000D2518" w:rsidRPr="00682A96" w:rsidRDefault="006F7CC1" w:rsidP="006B2C9A">
            <w:pPr>
              <w:jc w:val="both"/>
              <w:rPr>
                <w:rStyle w:val="Accentuation"/>
                <w:i w:val="0"/>
                <w:iCs w:val="0"/>
                <w:color w:val="000000" w:themeColor="text1"/>
              </w:rPr>
            </w:pPr>
            <w:r>
              <w:rPr>
                <w:rStyle w:val="Accentuation"/>
                <w:i w:val="0"/>
                <w:iCs w:val="0"/>
                <w:color w:val="000000" w:themeColor="text1"/>
              </w:rPr>
              <w:t>0</w:t>
            </w:r>
          </w:p>
        </w:tc>
      </w:tr>
      <w:tr w:rsidR="000D2518" w:rsidRPr="00682A96" w:rsidTr="007A2C0C">
        <w:trPr>
          <w:jc w:val="center"/>
        </w:trPr>
        <w:tc>
          <w:tcPr>
            <w:tcW w:w="4794" w:type="dxa"/>
          </w:tcPr>
          <w:p w:rsidR="000D2518" w:rsidRPr="00682A96" w:rsidRDefault="000D2518" w:rsidP="006B2C9A">
            <w:pPr>
              <w:jc w:val="both"/>
              <w:rPr>
                <w:rStyle w:val="Accentuation"/>
                <w:color w:val="000000" w:themeColor="text1"/>
              </w:rPr>
            </w:pPr>
            <w:r w:rsidRPr="00682A96">
              <w:rPr>
                <w:rStyle w:val="Accentuation"/>
                <w:color w:val="000000" w:themeColor="text1"/>
              </w:rPr>
              <w:t>Nombre de prévenus</w:t>
            </w:r>
          </w:p>
        </w:tc>
        <w:tc>
          <w:tcPr>
            <w:tcW w:w="4200" w:type="dxa"/>
          </w:tcPr>
          <w:p w:rsidR="000D2518" w:rsidRPr="00682A96" w:rsidRDefault="000D2518" w:rsidP="006B2C9A">
            <w:pPr>
              <w:jc w:val="both"/>
              <w:rPr>
                <w:rStyle w:val="Accentuation"/>
                <w:i w:val="0"/>
                <w:iCs w:val="0"/>
                <w:color w:val="000000" w:themeColor="text1"/>
              </w:rPr>
            </w:pPr>
            <w:r w:rsidRPr="00682A96">
              <w:rPr>
                <w:rStyle w:val="Accentuation"/>
                <w:i w:val="0"/>
                <w:iCs w:val="0"/>
                <w:color w:val="000000" w:themeColor="text1"/>
              </w:rPr>
              <w:t>0</w:t>
            </w:r>
          </w:p>
        </w:tc>
      </w:tr>
    </w:tbl>
    <w:p w:rsidR="000D2518" w:rsidRPr="00682A96" w:rsidRDefault="000D2518" w:rsidP="006B2C9A">
      <w:pPr>
        <w:jc w:val="both"/>
        <w:rPr>
          <w:rStyle w:val="Accentuation"/>
          <w:i w:val="0"/>
        </w:rPr>
      </w:pPr>
    </w:p>
    <w:p w:rsidR="00DE4F24" w:rsidRDefault="00FF57D4" w:rsidP="006B2C9A">
      <w:pPr>
        <w:jc w:val="both"/>
        <w:rPr>
          <w:rStyle w:val="Accentuation"/>
          <w:i w:val="0"/>
          <w:lang w:val="fr-FR"/>
        </w:rPr>
      </w:pPr>
      <w:bookmarkStart w:id="4" w:name="_Hlk149868750"/>
      <w:bookmarkStart w:id="5" w:name="_Hlk152654543"/>
      <w:r>
        <w:rPr>
          <w:rStyle w:val="Accentuation"/>
          <w:i w:val="0"/>
          <w:lang w:val="fr-FR"/>
        </w:rPr>
        <w:t xml:space="preserve">Pour ce mois d’avril, aucune  affaire en relation avec </w:t>
      </w:r>
      <w:r w:rsidR="00EA23A1">
        <w:rPr>
          <w:rStyle w:val="Accentuation"/>
          <w:i w:val="0"/>
          <w:lang w:val="fr-FR"/>
        </w:rPr>
        <w:t>l’exploitation</w:t>
      </w:r>
      <w:r w:rsidR="00002F24">
        <w:rPr>
          <w:rStyle w:val="Accentuation"/>
          <w:i w:val="0"/>
          <w:lang w:val="fr-FR"/>
        </w:rPr>
        <w:t xml:space="preserve"> illégale</w:t>
      </w:r>
      <w:r>
        <w:rPr>
          <w:rStyle w:val="Accentuation"/>
          <w:i w:val="0"/>
          <w:lang w:val="fr-FR"/>
        </w:rPr>
        <w:t xml:space="preserve"> du bois ou les</w:t>
      </w:r>
      <w:r w:rsidR="00EA23A1">
        <w:rPr>
          <w:rStyle w:val="Accentuation"/>
          <w:i w:val="0"/>
          <w:lang w:val="fr-FR"/>
        </w:rPr>
        <w:t xml:space="preserve"> cahiers de charges contractuelles n’a été suivie devant les juridictions. En conséquence, il n’y a pas de condamnations</w:t>
      </w:r>
      <w:r w:rsidR="00DA459A">
        <w:rPr>
          <w:rStyle w:val="Accentuation"/>
          <w:i w:val="0"/>
          <w:lang w:val="fr-FR"/>
        </w:rPr>
        <w:t>.</w:t>
      </w:r>
      <w:bookmarkEnd w:id="4"/>
      <w:bookmarkEnd w:id="5"/>
    </w:p>
    <w:p w:rsidR="00FF57D4" w:rsidRDefault="00FF57D4" w:rsidP="006B2C9A">
      <w:pPr>
        <w:jc w:val="both"/>
        <w:rPr>
          <w:rStyle w:val="Accentuation"/>
          <w:i w:val="0"/>
          <w:lang w:val="fr-FR"/>
        </w:rPr>
      </w:pPr>
      <w:r>
        <w:rPr>
          <w:rStyle w:val="Accentuation"/>
          <w:i w:val="0"/>
          <w:lang w:val="fr-FR"/>
        </w:rPr>
        <w:t xml:space="preserve">En outre, </w:t>
      </w:r>
      <w:r w:rsidR="00C228B9">
        <w:rPr>
          <w:rStyle w:val="Accentuation"/>
          <w:i w:val="0"/>
          <w:lang w:val="fr-FR"/>
        </w:rPr>
        <w:t>aucun</w:t>
      </w:r>
      <w:r>
        <w:rPr>
          <w:rStyle w:val="Accentuation"/>
          <w:i w:val="0"/>
          <w:lang w:val="fr-FR"/>
        </w:rPr>
        <w:t xml:space="preserve"> </w:t>
      </w:r>
      <w:r w:rsidR="00C228B9">
        <w:rPr>
          <w:rStyle w:val="Accentuation"/>
          <w:i w:val="0"/>
          <w:lang w:val="fr-FR"/>
        </w:rPr>
        <w:t xml:space="preserve">nouveau cas n’a été </w:t>
      </w:r>
      <w:r>
        <w:rPr>
          <w:rStyle w:val="Accentuation"/>
          <w:i w:val="0"/>
          <w:lang w:val="fr-FR"/>
        </w:rPr>
        <w:t>enregistré devant les juridictions.</w:t>
      </w:r>
    </w:p>
    <w:p w:rsidR="00FF57D4" w:rsidRDefault="00FF57D4" w:rsidP="006B2C9A">
      <w:pPr>
        <w:jc w:val="both"/>
        <w:rPr>
          <w:rStyle w:val="Accentuation"/>
          <w:i w:val="0"/>
          <w:lang w:val="fr-FR"/>
        </w:rPr>
      </w:pPr>
    </w:p>
    <w:p w:rsidR="000D2518" w:rsidRPr="00682A96" w:rsidRDefault="000D2518" w:rsidP="006B2C9A">
      <w:pPr>
        <w:jc w:val="both"/>
        <w:rPr>
          <w:rStyle w:val="Accentuation"/>
          <w:b/>
          <w:i w:val="0"/>
        </w:rPr>
      </w:pPr>
      <w:r w:rsidRPr="00682A96">
        <w:rPr>
          <w:rStyle w:val="Accentuation"/>
          <w:b/>
          <w:i w:val="0"/>
        </w:rPr>
        <w:t>4.2. Visites de prison</w:t>
      </w:r>
    </w:p>
    <w:p w:rsidR="000D2518" w:rsidRPr="00682A96" w:rsidRDefault="000D2518" w:rsidP="006B2C9A">
      <w:pPr>
        <w:jc w:val="both"/>
        <w:rPr>
          <w:rStyle w:val="Accentuation"/>
          <w:i w:val="0"/>
        </w:rPr>
      </w:pPr>
    </w:p>
    <w:p w:rsidR="000D2518" w:rsidRPr="00682A96" w:rsidRDefault="000D2518" w:rsidP="006B2C9A">
      <w:pPr>
        <w:jc w:val="both"/>
        <w:rPr>
          <w:rStyle w:val="Accentuation"/>
        </w:rPr>
      </w:pPr>
      <w:r w:rsidRPr="00682A96">
        <w:rPr>
          <w:rStyle w:val="Accentuation"/>
        </w:rPr>
        <w:t>Indicateurs :</w:t>
      </w:r>
    </w:p>
    <w:p w:rsidR="000D2518" w:rsidRPr="00682A96" w:rsidRDefault="000D2518" w:rsidP="006B2C9A">
      <w:pPr>
        <w:jc w:val="both"/>
        <w:rPr>
          <w:rStyle w:val="Accentuation"/>
        </w:rPr>
      </w:pPr>
    </w:p>
    <w:tbl>
      <w:tblPr>
        <w:tblStyle w:val="Grilledetableauclaire1"/>
        <w:tblW w:w="9208" w:type="dxa"/>
        <w:tblLook w:val="04A0" w:firstRow="1" w:lastRow="0" w:firstColumn="1" w:lastColumn="0" w:noHBand="0" w:noVBand="1"/>
      </w:tblPr>
      <w:tblGrid>
        <w:gridCol w:w="4928"/>
        <w:gridCol w:w="4280"/>
      </w:tblGrid>
      <w:tr w:rsidR="000D2518" w:rsidRPr="00682A96" w:rsidTr="007A2C0C">
        <w:trPr>
          <w:trHeight w:val="262"/>
        </w:trPr>
        <w:tc>
          <w:tcPr>
            <w:tcW w:w="4928" w:type="dxa"/>
          </w:tcPr>
          <w:p w:rsidR="000D2518" w:rsidRPr="00682A96" w:rsidRDefault="000D2518" w:rsidP="006B2C9A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lastRenderedPageBreak/>
              <w:t xml:space="preserve">Nombre de visites effectuées </w:t>
            </w:r>
          </w:p>
        </w:tc>
        <w:tc>
          <w:tcPr>
            <w:tcW w:w="4280" w:type="dxa"/>
          </w:tcPr>
          <w:p w:rsidR="000D2518" w:rsidRPr="00682A96" w:rsidRDefault="000D2518" w:rsidP="006B2C9A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0</w:t>
            </w:r>
          </w:p>
        </w:tc>
      </w:tr>
      <w:tr w:rsidR="000D2518" w:rsidRPr="00682A96" w:rsidTr="007A2C0C">
        <w:trPr>
          <w:trHeight w:val="262"/>
        </w:trPr>
        <w:tc>
          <w:tcPr>
            <w:tcW w:w="4928" w:type="dxa"/>
          </w:tcPr>
          <w:p w:rsidR="000D2518" w:rsidRPr="00682A96" w:rsidRDefault="000D2518" w:rsidP="006B2C9A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Nombre de détenus rencontrés</w:t>
            </w:r>
          </w:p>
        </w:tc>
        <w:tc>
          <w:tcPr>
            <w:tcW w:w="4280" w:type="dxa"/>
          </w:tcPr>
          <w:p w:rsidR="000D2518" w:rsidRPr="00682A96" w:rsidRDefault="000D2518" w:rsidP="006B2C9A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0</w:t>
            </w:r>
          </w:p>
        </w:tc>
      </w:tr>
    </w:tbl>
    <w:p w:rsidR="000D2518" w:rsidRPr="00682A96" w:rsidRDefault="000D2518" w:rsidP="006B2C9A">
      <w:pPr>
        <w:jc w:val="both"/>
        <w:rPr>
          <w:rStyle w:val="Accentuation"/>
          <w:i w:val="0"/>
        </w:rPr>
      </w:pPr>
    </w:p>
    <w:p w:rsidR="000D2518" w:rsidRPr="00682A96" w:rsidRDefault="000D2518" w:rsidP="006B2C9A">
      <w:pPr>
        <w:jc w:val="both"/>
        <w:rPr>
          <w:rStyle w:val="Accentuation"/>
          <w:i w:val="0"/>
          <w:color w:val="000000" w:themeColor="text1"/>
        </w:rPr>
      </w:pPr>
      <w:r w:rsidRPr="00682A96">
        <w:rPr>
          <w:rStyle w:val="Accentuation"/>
          <w:i w:val="0"/>
          <w:color w:val="000000" w:themeColor="text1"/>
        </w:rPr>
        <w:t>Aucune visit</w:t>
      </w:r>
      <w:r w:rsidR="00FF57D4">
        <w:rPr>
          <w:rStyle w:val="Accentuation"/>
          <w:i w:val="0"/>
          <w:color w:val="000000" w:themeColor="text1"/>
        </w:rPr>
        <w:t>e de prison effectuée ce mois d’avril</w:t>
      </w:r>
      <w:r w:rsidR="00661C4C">
        <w:rPr>
          <w:rStyle w:val="Accentuation"/>
          <w:i w:val="0"/>
          <w:color w:val="000000" w:themeColor="text1"/>
        </w:rPr>
        <w:t xml:space="preserve"> 2024</w:t>
      </w:r>
      <w:r w:rsidR="00C10EE5">
        <w:rPr>
          <w:rStyle w:val="Accentuation"/>
          <w:i w:val="0"/>
          <w:color w:val="000000" w:themeColor="text1"/>
        </w:rPr>
        <w:t>.</w:t>
      </w:r>
      <w:r w:rsidR="00EA23A1">
        <w:rPr>
          <w:rStyle w:val="Accentuation"/>
          <w:i w:val="0"/>
          <w:color w:val="000000" w:themeColor="text1"/>
        </w:rPr>
        <w:t xml:space="preserve"> Nous n’enregistrons pas pour le moment les cas de détention pour exploitation forestiè</w:t>
      </w:r>
      <w:r w:rsidR="00002F24">
        <w:rPr>
          <w:rStyle w:val="Accentuation"/>
          <w:i w:val="0"/>
          <w:color w:val="000000" w:themeColor="text1"/>
        </w:rPr>
        <w:t>re illégale.</w:t>
      </w:r>
    </w:p>
    <w:p w:rsidR="008C6086" w:rsidRDefault="008C6086" w:rsidP="006B2C9A">
      <w:pPr>
        <w:jc w:val="both"/>
        <w:rPr>
          <w:rStyle w:val="Accentuation"/>
          <w:b/>
          <w:i w:val="0"/>
        </w:rPr>
      </w:pPr>
    </w:p>
    <w:p w:rsidR="000D2518" w:rsidRPr="00682A96" w:rsidRDefault="000D2518" w:rsidP="006B2C9A">
      <w:pPr>
        <w:jc w:val="both"/>
        <w:rPr>
          <w:rStyle w:val="Accentuation"/>
          <w:b/>
          <w:i w:val="0"/>
        </w:rPr>
      </w:pPr>
      <w:r w:rsidRPr="00682A96">
        <w:rPr>
          <w:rStyle w:val="Accentuation"/>
          <w:b/>
          <w:i w:val="0"/>
        </w:rPr>
        <w:t>4.3 Formations</w:t>
      </w:r>
    </w:p>
    <w:p w:rsidR="000D2518" w:rsidRPr="00682A96" w:rsidRDefault="000D2518" w:rsidP="006B2C9A">
      <w:pPr>
        <w:jc w:val="both"/>
        <w:rPr>
          <w:rStyle w:val="Accentuation"/>
          <w:b/>
          <w:i w:val="0"/>
        </w:rPr>
      </w:pPr>
    </w:p>
    <w:p w:rsidR="00C228B9" w:rsidRDefault="00C228B9" w:rsidP="00C228B9">
      <w:pPr>
        <w:jc w:val="both"/>
        <w:rPr>
          <w:rStyle w:val="Accentuation"/>
          <w:i w:val="0"/>
        </w:rPr>
      </w:pPr>
      <w:r>
        <w:rPr>
          <w:rStyle w:val="Accentuation"/>
          <w:i w:val="0"/>
        </w:rPr>
        <w:t xml:space="preserve">Les ateliers débutés en mars dans 4 départements </w:t>
      </w:r>
      <w:r>
        <w:rPr>
          <w:rStyle w:val="Accentuation"/>
          <w:i w:val="0"/>
        </w:rPr>
        <w:t>de la province de l’Ogooué-Ivindo</w:t>
      </w:r>
      <w:r>
        <w:rPr>
          <w:rStyle w:val="Accentuation"/>
          <w:i w:val="0"/>
        </w:rPr>
        <w:t xml:space="preserve"> ont continué au mois d’avril</w:t>
      </w:r>
      <w:r w:rsidR="00FE3AA7">
        <w:rPr>
          <w:rStyle w:val="Accentuation"/>
          <w:i w:val="0"/>
        </w:rPr>
        <w:t xml:space="preserve">, toujours avec la participation de </w:t>
      </w:r>
      <w:proofErr w:type="spellStart"/>
      <w:r w:rsidR="00FE3AA7">
        <w:rPr>
          <w:rStyle w:val="Accentuation"/>
          <w:i w:val="0"/>
        </w:rPr>
        <w:t>Brainforest</w:t>
      </w:r>
      <w:proofErr w:type="spellEnd"/>
      <w:r>
        <w:rPr>
          <w:rStyle w:val="Accentuation"/>
          <w:i w:val="0"/>
        </w:rPr>
        <w:t>.</w:t>
      </w:r>
      <w:r>
        <w:rPr>
          <w:rStyle w:val="Accentuation"/>
          <w:i w:val="0"/>
        </w:rPr>
        <w:t xml:space="preserve"> Ces ateliers avaient pour but de renforcer les capacités des membres des CGSP (Comités de Gestion et de Suivi des Projets)</w:t>
      </w:r>
      <w:r w:rsidR="004D06DF">
        <w:rPr>
          <w:rStyle w:val="Accentuation"/>
          <w:i w:val="0"/>
        </w:rPr>
        <w:t xml:space="preserve"> dans le cadre des Cahiers des Charges Contractuelles.</w:t>
      </w:r>
      <w:r>
        <w:rPr>
          <w:rStyle w:val="Accentuation"/>
          <w:i w:val="0"/>
        </w:rPr>
        <w:t xml:space="preserve"> </w:t>
      </w:r>
      <w:r w:rsidR="004D06DF">
        <w:rPr>
          <w:rStyle w:val="Accentuation"/>
          <w:i w:val="0"/>
        </w:rPr>
        <w:t>Ont été formés les représentants des communautés villageoises ainsi que les autorités locales impliquées.</w:t>
      </w:r>
    </w:p>
    <w:p w:rsidR="004D06DF" w:rsidRPr="00682A96" w:rsidRDefault="004D06DF" w:rsidP="00C228B9">
      <w:pPr>
        <w:jc w:val="both"/>
        <w:rPr>
          <w:rStyle w:val="Accentuation"/>
          <w:i w:val="0"/>
        </w:rPr>
      </w:pPr>
    </w:p>
    <w:tbl>
      <w:tblPr>
        <w:tblpPr w:leftFromText="141" w:rightFromText="141" w:vertAnchor="text" w:tblpX="40" w:tblpY="1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8"/>
        <w:gridCol w:w="1337"/>
        <w:gridCol w:w="1416"/>
        <w:gridCol w:w="1709"/>
        <w:gridCol w:w="1681"/>
        <w:gridCol w:w="1768"/>
      </w:tblGrid>
      <w:tr w:rsidR="00C228B9" w:rsidRPr="00B337DD" w:rsidTr="00C228B9">
        <w:tc>
          <w:tcPr>
            <w:tcW w:w="1128" w:type="dxa"/>
            <w:tcBorders>
              <w:bottom w:val="single" w:sz="12" w:space="0" w:color="auto"/>
            </w:tcBorders>
            <w:shd w:val="clear" w:color="auto" w:fill="EEECE1"/>
          </w:tcPr>
          <w:p w:rsidR="00C228B9" w:rsidRPr="00F0001E" w:rsidRDefault="00C228B9" w:rsidP="00C228B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F0001E">
              <w:rPr>
                <w:b/>
                <w:sz w:val="20"/>
                <w:szCs w:val="20"/>
              </w:rPr>
              <w:t xml:space="preserve">Dates </w:t>
            </w:r>
          </w:p>
        </w:tc>
        <w:tc>
          <w:tcPr>
            <w:tcW w:w="1337" w:type="dxa"/>
            <w:tcBorders>
              <w:bottom w:val="single" w:sz="12" w:space="0" w:color="auto"/>
            </w:tcBorders>
            <w:shd w:val="clear" w:color="auto" w:fill="EEECE1"/>
          </w:tcPr>
          <w:p w:rsidR="00C228B9" w:rsidRPr="00F0001E" w:rsidRDefault="00C228B9" w:rsidP="00C228B9">
            <w:pPr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Provinces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EEECE1"/>
          </w:tcPr>
          <w:p w:rsidR="00C228B9" w:rsidRPr="00F0001E" w:rsidRDefault="00C228B9" w:rsidP="004D06D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Départements 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C228B9" w:rsidRPr="00F0001E" w:rsidRDefault="00C228B9" w:rsidP="004D06D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Lieu de la formation 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C228B9" w:rsidRPr="00F0001E" w:rsidRDefault="00C228B9" w:rsidP="004D06D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Formateurs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EECE1"/>
          </w:tcPr>
          <w:p w:rsidR="00C228B9" w:rsidRPr="00F0001E" w:rsidRDefault="00C228B9" w:rsidP="004D06D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Bénéficiaires </w:t>
            </w:r>
          </w:p>
        </w:tc>
      </w:tr>
      <w:tr w:rsidR="00C228B9" w:rsidRPr="00B337DD" w:rsidTr="00C228B9">
        <w:trPr>
          <w:trHeight w:val="491"/>
        </w:trPr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Pr="00F0001E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02 et 03/04</w:t>
            </w:r>
            <w:r w:rsidRPr="00F0001E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Pr="00F0001E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Ogooué-Ivindo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Pr="00514D94" w:rsidRDefault="00C228B9" w:rsidP="00C228B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Mvoung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228B9" w:rsidRPr="00F0001E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Ovan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228B9" w:rsidRPr="00F0001E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CJ-Eaux et Forêts et </w:t>
            </w:r>
            <w:proofErr w:type="spellStart"/>
            <w:r>
              <w:rPr>
                <w:sz w:val="20"/>
                <w:szCs w:val="20"/>
              </w:rPr>
              <w:t>Brainforest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Pr="00F0001E" w:rsidRDefault="00C228B9" w:rsidP="00C228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228B9" w:rsidRPr="00B337DD" w:rsidTr="00C228B9">
        <w:trPr>
          <w:trHeight w:val="368"/>
        </w:trPr>
        <w:tc>
          <w:tcPr>
            <w:tcW w:w="11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05 et 06/04/2024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Ogooué-Ivindo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Pr="00EA2F00" w:rsidRDefault="00C228B9" w:rsidP="00C228B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Lopé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228B9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Booué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228B9" w:rsidRDefault="00C228B9" w:rsidP="00C228B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CJ-Eaux et Forêts et </w:t>
            </w:r>
            <w:proofErr w:type="spellStart"/>
            <w:r>
              <w:rPr>
                <w:sz w:val="20"/>
                <w:szCs w:val="20"/>
              </w:rPr>
              <w:t>Brainforest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C228B9" w:rsidRDefault="00C228B9" w:rsidP="00C228B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</w:tbl>
    <w:p w:rsidR="00BA7D60" w:rsidRPr="00682A96" w:rsidRDefault="00BA7D60" w:rsidP="006B2C9A">
      <w:pPr>
        <w:jc w:val="both"/>
        <w:rPr>
          <w:b/>
          <w:u w:val="single"/>
        </w:rPr>
      </w:pPr>
    </w:p>
    <w:p w:rsidR="000A591E" w:rsidRPr="00682A96" w:rsidRDefault="000A591E" w:rsidP="006B2C9A">
      <w:pPr>
        <w:pStyle w:val="Titre1"/>
        <w:rPr>
          <w:rStyle w:val="Accentuation"/>
          <w:rFonts w:ascii="Times New Roman" w:hAnsi="Times New Roman" w:cs="Times New Roman"/>
          <w:iCs w:val="0"/>
          <w:sz w:val="24"/>
          <w:szCs w:val="24"/>
        </w:rPr>
      </w:pPr>
      <w:bookmarkStart w:id="6" w:name="_Toc118989102"/>
      <w:r w:rsidRPr="00682A96">
        <w:rPr>
          <w:rStyle w:val="Accentuation"/>
          <w:rFonts w:ascii="Times New Roman" w:hAnsi="Times New Roman" w:cs="Times New Roman"/>
          <w:iCs w:val="0"/>
          <w:sz w:val="24"/>
          <w:szCs w:val="24"/>
        </w:rPr>
        <w:t>5. Missions</w:t>
      </w:r>
      <w:bookmarkEnd w:id="6"/>
    </w:p>
    <w:p w:rsidR="00BE3C9A" w:rsidRPr="00682A96" w:rsidRDefault="00BE3C9A" w:rsidP="006B2C9A">
      <w:pPr>
        <w:jc w:val="both"/>
      </w:pPr>
    </w:p>
    <w:p w:rsidR="00EC5595" w:rsidRPr="00EC5595" w:rsidRDefault="00EC5595" w:rsidP="006B2C9A">
      <w:pPr>
        <w:pStyle w:val="Paragraphedeliste"/>
        <w:jc w:val="both"/>
        <w:rPr>
          <w:b/>
        </w:rPr>
      </w:pPr>
    </w:p>
    <w:p w:rsidR="00666A99" w:rsidRDefault="00FA7C58" w:rsidP="00FA7C58">
      <w:pPr>
        <w:spacing w:line="276" w:lineRule="auto"/>
        <w:jc w:val="both"/>
        <w:rPr>
          <w:lang w:val="fr-FR"/>
        </w:rPr>
      </w:pPr>
      <w:r>
        <w:rPr>
          <w:rFonts w:eastAsiaTheme="minorHAnsi"/>
          <w:bCs/>
          <w:kern w:val="2"/>
        </w:rPr>
        <w:t xml:space="preserve">Aucune mission </w:t>
      </w:r>
      <w:r w:rsidR="004D06DF">
        <w:rPr>
          <w:rFonts w:eastAsiaTheme="minorHAnsi"/>
          <w:bCs/>
          <w:kern w:val="2"/>
        </w:rPr>
        <w:t xml:space="preserve">sociale </w:t>
      </w:r>
      <w:r>
        <w:rPr>
          <w:rFonts w:eastAsiaTheme="minorHAnsi"/>
          <w:bCs/>
          <w:kern w:val="2"/>
        </w:rPr>
        <w:t>n’a été effectuée au mois d’avril 2024.</w:t>
      </w:r>
    </w:p>
    <w:p w:rsidR="00CA4799" w:rsidRDefault="00CA4799" w:rsidP="006B2C9A">
      <w:pPr>
        <w:jc w:val="both"/>
      </w:pPr>
    </w:p>
    <w:p w:rsidR="00716939" w:rsidRDefault="00716939" w:rsidP="006B2C9A">
      <w:pPr>
        <w:jc w:val="both"/>
      </w:pPr>
    </w:p>
    <w:p w:rsidR="005707C0" w:rsidRPr="00FE2A99" w:rsidRDefault="005707C0" w:rsidP="006B2C9A">
      <w:pPr>
        <w:pStyle w:val="Titre1"/>
        <w:ind w:left="426"/>
        <w:rPr>
          <w:i/>
          <w:iCs/>
          <w:sz w:val="24"/>
          <w:szCs w:val="24"/>
        </w:rPr>
      </w:pPr>
      <w:bookmarkStart w:id="7" w:name="_Toc118989103"/>
      <w:r w:rsidRPr="00FE2A99">
        <w:rPr>
          <w:rStyle w:val="Accentuation"/>
          <w:sz w:val="24"/>
          <w:szCs w:val="24"/>
        </w:rPr>
        <w:t>6. Cahiers des Charges Contractuels</w:t>
      </w:r>
      <w:bookmarkEnd w:id="7"/>
    </w:p>
    <w:p w:rsidR="005707C0" w:rsidRDefault="005707C0" w:rsidP="006B2C9A">
      <w:pPr>
        <w:jc w:val="both"/>
        <w:rPr>
          <w:rFonts w:asciiTheme="minorHAnsi" w:hAnsiTheme="minorHAnsi" w:cstheme="minorHAnsi"/>
        </w:rPr>
      </w:pPr>
    </w:p>
    <w:p w:rsidR="004D06DF" w:rsidRDefault="004D06DF" w:rsidP="004D06DF">
      <w:pPr>
        <w:jc w:val="both"/>
        <w:rPr>
          <w:rFonts w:asciiTheme="minorHAnsi" w:hAnsiTheme="minorHAnsi" w:cstheme="minorHAnsi"/>
        </w:rPr>
      </w:pPr>
      <w:bookmarkStart w:id="8" w:name="_Toc118989104"/>
      <w:r>
        <w:rPr>
          <w:rFonts w:asciiTheme="minorHAnsi" w:hAnsiTheme="minorHAnsi" w:cstheme="minorHAnsi"/>
        </w:rPr>
        <w:t>A date, le projet comptabilise, en termes de suivi,</w:t>
      </w:r>
      <w:r w:rsidRPr="006E3C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 total de 202</w:t>
      </w:r>
      <w:r w:rsidRPr="006E3CE6">
        <w:rPr>
          <w:rFonts w:asciiTheme="minorHAnsi" w:hAnsiTheme="minorHAnsi" w:cstheme="minorHAnsi"/>
        </w:rPr>
        <w:t xml:space="preserve"> Cahiers des Charges Contractuels (CCC) et </w:t>
      </w:r>
      <w:r>
        <w:rPr>
          <w:rFonts w:asciiTheme="minorHAnsi" w:hAnsiTheme="minorHAnsi" w:cstheme="minorHAnsi"/>
        </w:rPr>
        <w:t>de 36</w:t>
      </w:r>
      <w:r w:rsidRPr="006E3CE6">
        <w:rPr>
          <w:rFonts w:asciiTheme="minorHAnsi" w:hAnsiTheme="minorHAnsi" w:cstheme="minorHAnsi"/>
        </w:rPr>
        <w:t xml:space="preserve"> avenants en cours de mise en</w:t>
      </w:r>
      <w:r>
        <w:rPr>
          <w:rFonts w:asciiTheme="minorHAnsi" w:hAnsiTheme="minorHAnsi" w:cstheme="minorHAnsi"/>
        </w:rPr>
        <w:t xml:space="preserve"> œuvre</w:t>
      </w:r>
      <w:r w:rsidRPr="006E3CE6">
        <w:rPr>
          <w:rFonts w:asciiTheme="minorHAnsi" w:hAnsiTheme="minorHAnsi" w:cstheme="minorHAnsi"/>
        </w:rPr>
        <w:t>.</w:t>
      </w:r>
    </w:p>
    <w:p w:rsidR="004D06DF" w:rsidRPr="006E3CE6" w:rsidRDefault="004D06DF" w:rsidP="004D06DF">
      <w:pPr>
        <w:jc w:val="both"/>
        <w:rPr>
          <w:rFonts w:asciiTheme="minorHAnsi" w:hAnsiTheme="minorHAnsi" w:cstheme="minorHAnsi"/>
        </w:rPr>
      </w:pPr>
    </w:p>
    <w:tbl>
      <w:tblPr>
        <w:tblStyle w:val="Grilledutableau1"/>
        <w:tblW w:w="8046" w:type="dxa"/>
        <w:jc w:val="center"/>
        <w:tblLook w:val="04A0" w:firstRow="1" w:lastRow="0" w:firstColumn="1" w:lastColumn="0" w:noHBand="0" w:noVBand="1"/>
      </w:tblPr>
      <w:tblGrid>
        <w:gridCol w:w="2420"/>
        <w:gridCol w:w="1403"/>
        <w:gridCol w:w="1417"/>
        <w:gridCol w:w="1506"/>
        <w:gridCol w:w="1300"/>
      </w:tblGrid>
      <w:tr w:rsidR="004D06DF" w:rsidRPr="006E3CE6" w:rsidTr="00885CC6">
        <w:trPr>
          <w:trHeight w:val="290"/>
          <w:jc w:val="center"/>
        </w:trPr>
        <w:tc>
          <w:tcPr>
            <w:tcW w:w="2420" w:type="dxa"/>
            <w:noWrap/>
            <w:hideMark/>
          </w:tcPr>
          <w:p w:rsidR="004D06DF" w:rsidRPr="006E3CE6" w:rsidRDefault="004D06DF" w:rsidP="00885CC6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Province</w:t>
            </w:r>
          </w:p>
        </w:tc>
        <w:tc>
          <w:tcPr>
            <w:tcW w:w="1403" w:type="dxa"/>
            <w:noWrap/>
            <w:hideMark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Avenant</w:t>
            </w:r>
          </w:p>
        </w:tc>
        <w:tc>
          <w:tcPr>
            <w:tcW w:w="1417" w:type="dxa"/>
            <w:noWrap/>
            <w:hideMark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CCC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  <w:hideMark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en cours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Clôturés</w:t>
            </w:r>
          </w:p>
        </w:tc>
      </w:tr>
      <w:tr w:rsidR="004D06DF" w:rsidRPr="006E3CE6" w:rsidTr="00885CC6">
        <w:trPr>
          <w:trHeight w:val="290"/>
          <w:jc w:val="center"/>
        </w:trPr>
        <w:tc>
          <w:tcPr>
            <w:tcW w:w="2420" w:type="dxa"/>
            <w:noWrap/>
          </w:tcPr>
          <w:p w:rsidR="004D06DF" w:rsidRPr="006E3CE6" w:rsidRDefault="004D06DF" w:rsidP="00885CC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MOYEN OGOOUE</w:t>
            </w:r>
          </w:p>
        </w:tc>
        <w:tc>
          <w:tcPr>
            <w:tcW w:w="1403" w:type="dxa"/>
            <w:noWrap/>
          </w:tcPr>
          <w:p w:rsidR="004D06DF" w:rsidRPr="003E28E6" w:rsidRDefault="004D06DF" w:rsidP="00885CC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E28E6">
              <w:rPr>
                <w:rFonts w:asciiTheme="minorHAnsi" w:hAnsiTheme="minorHAnsi" w:cstheme="minorHAnsi"/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</w:t>
            </w:r>
          </w:p>
        </w:tc>
      </w:tr>
      <w:tr w:rsidR="004D06DF" w:rsidRPr="006E3CE6" w:rsidTr="00885CC6">
        <w:trPr>
          <w:trHeight w:val="290"/>
          <w:jc w:val="center"/>
        </w:trPr>
        <w:tc>
          <w:tcPr>
            <w:tcW w:w="2420" w:type="dxa"/>
            <w:noWrap/>
            <w:hideMark/>
          </w:tcPr>
          <w:p w:rsidR="004D06DF" w:rsidRPr="006E3CE6" w:rsidRDefault="004D06DF" w:rsidP="00885CC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NGOUNIE</w:t>
            </w:r>
          </w:p>
        </w:tc>
        <w:tc>
          <w:tcPr>
            <w:tcW w:w="1403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417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60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7</w:t>
            </w: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49</w:t>
            </w:r>
          </w:p>
        </w:tc>
      </w:tr>
      <w:tr w:rsidR="004D06DF" w:rsidRPr="006E3CE6" w:rsidTr="00885CC6">
        <w:trPr>
          <w:trHeight w:val="290"/>
          <w:jc w:val="center"/>
        </w:trPr>
        <w:tc>
          <w:tcPr>
            <w:tcW w:w="2420" w:type="dxa"/>
            <w:noWrap/>
            <w:hideMark/>
          </w:tcPr>
          <w:p w:rsidR="004D06DF" w:rsidRPr="006E3CE6" w:rsidRDefault="004D06DF" w:rsidP="00885CC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NYANGA</w:t>
            </w:r>
          </w:p>
        </w:tc>
        <w:tc>
          <w:tcPr>
            <w:tcW w:w="1403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1417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</w:t>
            </w:r>
          </w:p>
        </w:tc>
      </w:tr>
      <w:tr w:rsidR="004D06DF" w:rsidRPr="006E3CE6" w:rsidTr="00885CC6">
        <w:trPr>
          <w:trHeight w:val="290"/>
          <w:jc w:val="center"/>
        </w:trPr>
        <w:tc>
          <w:tcPr>
            <w:tcW w:w="2420" w:type="dxa"/>
            <w:noWrap/>
            <w:hideMark/>
          </w:tcPr>
          <w:p w:rsidR="004D06DF" w:rsidRPr="006E3CE6" w:rsidRDefault="004D06DF" w:rsidP="00885CC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OGOOUE IVINDO</w:t>
            </w:r>
          </w:p>
        </w:tc>
        <w:tc>
          <w:tcPr>
            <w:tcW w:w="1403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  <w:tc>
          <w:tcPr>
            <w:tcW w:w="1417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78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93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28</w:t>
            </w:r>
          </w:p>
        </w:tc>
      </w:tr>
      <w:tr w:rsidR="004D06DF" w:rsidRPr="006E3CE6" w:rsidTr="00885CC6">
        <w:trPr>
          <w:trHeight w:val="290"/>
          <w:jc w:val="center"/>
        </w:trPr>
        <w:tc>
          <w:tcPr>
            <w:tcW w:w="2420" w:type="dxa"/>
            <w:noWrap/>
            <w:hideMark/>
          </w:tcPr>
          <w:p w:rsidR="004D06DF" w:rsidRPr="006E3CE6" w:rsidRDefault="004D06DF" w:rsidP="00885CC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WOLEU NTEM</w:t>
            </w:r>
          </w:p>
        </w:tc>
        <w:tc>
          <w:tcPr>
            <w:tcW w:w="1403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1417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50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53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8</w:t>
            </w:r>
          </w:p>
        </w:tc>
      </w:tr>
      <w:tr w:rsidR="004D06DF" w:rsidRPr="006E3CE6" w:rsidTr="00885CC6">
        <w:trPr>
          <w:trHeight w:val="290"/>
          <w:jc w:val="center"/>
        </w:trPr>
        <w:tc>
          <w:tcPr>
            <w:tcW w:w="2420" w:type="dxa"/>
            <w:noWrap/>
            <w:hideMark/>
          </w:tcPr>
          <w:p w:rsidR="004D06DF" w:rsidRPr="006E3CE6" w:rsidRDefault="004D06DF" w:rsidP="00885CC6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403" w:type="dxa"/>
            <w:noWrap/>
          </w:tcPr>
          <w:p w:rsidR="004D06DF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36</w:t>
            </w:r>
          </w:p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202</w:t>
            </w:r>
          </w:p>
        </w:tc>
        <w:tc>
          <w:tcPr>
            <w:tcW w:w="1506" w:type="dxa"/>
            <w:shd w:val="clear" w:color="auto" w:fill="BFBFBF" w:themeFill="background1" w:themeFillShade="BF"/>
            <w:noWrap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238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:rsidR="004D06DF" w:rsidRPr="006E3CE6" w:rsidRDefault="004D06DF" w:rsidP="00885CC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>8</w:t>
            </w:r>
          </w:p>
        </w:tc>
      </w:tr>
    </w:tbl>
    <w:tbl>
      <w:tblPr>
        <w:tblStyle w:val="Grilledutableau1"/>
        <w:tblpPr w:leftFromText="180" w:rightFromText="180" w:vertAnchor="text" w:horzAnchor="margin" w:tblpXSpec="center" w:tblpY="-432"/>
        <w:tblOverlap w:val="never"/>
        <w:tblW w:w="6732" w:type="dxa"/>
        <w:tblLook w:val="04A0" w:firstRow="1" w:lastRow="0" w:firstColumn="1" w:lastColumn="0" w:noHBand="0" w:noVBand="1"/>
      </w:tblPr>
      <w:tblGrid>
        <w:gridCol w:w="4039"/>
        <w:gridCol w:w="2693"/>
      </w:tblGrid>
      <w:tr w:rsidR="004D06DF" w:rsidRPr="006E3CE6" w:rsidTr="004D06DF">
        <w:trPr>
          <w:trHeight w:val="290"/>
        </w:trPr>
        <w:tc>
          <w:tcPr>
            <w:tcW w:w="4039" w:type="dxa"/>
            <w:noWrap/>
            <w:hideMark/>
          </w:tcPr>
          <w:p w:rsidR="004D06DF" w:rsidRPr="006E3CE6" w:rsidRDefault="004D06DF" w:rsidP="004D06D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Stade de mise en œuvre</w:t>
            </w:r>
          </w:p>
        </w:tc>
        <w:tc>
          <w:tcPr>
            <w:tcW w:w="2693" w:type="dxa"/>
            <w:noWrap/>
            <w:hideMark/>
          </w:tcPr>
          <w:p w:rsidR="004D06DF" w:rsidRPr="006E3CE6" w:rsidRDefault="004D06DF" w:rsidP="004D06D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Nombre de CCC/Avenant</w:t>
            </w:r>
          </w:p>
        </w:tc>
      </w:tr>
      <w:tr w:rsidR="004D06DF" w:rsidRPr="006E3CE6" w:rsidTr="004D06DF">
        <w:trPr>
          <w:trHeight w:val="290"/>
        </w:trPr>
        <w:tc>
          <w:tcPr>
            <w:tcW w:w="4039" w:type="dxa"/>
            <w:noWrap/>
            <w:hideMark/>
          </w:tcPr>
          <w:p w:rsidR="004D06DF" w:rsidRPr="006E3CE6" w:rsidRDefault="004D06DF" w:rsidP="004D06D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En attente des projets des communautés</w:t>
            </w:r>
          </w:p>
        </w:tc>
        <w:tc>
          <w:tcPr>
            <w:tcW w:w="2693" w:type="dxa"/>
            <w:noWrap/>
            <w:hideMark/>
          </w:tcPr>
          <w:p w:rsidR="004D06DF" w:rsidRPr="006E3CE6" w:rsidRDefault="004D06DF" w:rsidP="004D06D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</w:t>
            </w:r>
          </w:p>
        </w:tc>
      </w:tr>
      <w:tr w:rsidR="004D06DF" w:rsidRPr="006E3CE6" w:rsidTr="004D06DF">
        <w:trPr>
          <w:trHeight w:val="290"/>
        </w:trPr>
        <w:tc>
          <w:tcPr>
            <w:tcW w:w="4039" w:type="dxa"/>
            <w:noWrap/>
          </w:tcPr>
          <w:p w:rsidR="004D06DF" w:rsidRPr="006E3CE6" w:rsidRDefault="004D06DF" w:rsidP="004D06D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En attente de validation du projet par le CGSP</w:t>
            </w:r>
          </w:p>
        </w:tc>
        <w:tc>
          <w:tcPr>
            <w:tcW w:w="2693" w:type="dxa"/>
            <w:noWrap/>
          </w:tcPr>
          <w:p w:rsidR="004D06DF" w:rsidRDefault="004D06DF" w:rsidP="004D06D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4D06DF" w:rsidRPr="006E3CE6" w:rsidTr="004D06DF">
        <w:trPr>
          <w:trHeight w:val="290"/>
        </w:trPr>
        <w:tc>
          <w:tcPr>
            <w:tcW w:w="4039" w:type="dxa"/>
            <w:noWrap/>
            <w:hideMark/>
          </w:tcPr>
          <w:p w:rsidR="004D06DF" w:rsidRPr="006E3CE6" w:rsidRDefault="004D06DF" w:rsidP="004D06D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En attente du versement du FDL</w:t>
            </w:r>
          </w:p>
        </w:tc>
        <w:tc>
          <w:tcPr>
            <w:tcW w:w="2693" w:type="dxa"/>
            <w:noWrap/>
            <w:hideMark/>
          </w:tcPr>
          <w:p w:rsidR="004D06DF" w:rsidRPr="006E3CE6" w:rsidRDefault="004D06DF" w:rsidP="004D06D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</w:t>
            </w:r>
          </w:p>
        </w:tc>
      </w:tr>
      <w:tr w:rsidR="004D06DF" w:rsidRPr="006E3CE6" w:rsidTr="004D06DF">
        <w:trPr>
          <w:trHeight w:val="290"/>
        </w:trPr>
        <w:tc>
          <w:tcPr>
            <w:tcW w:w="4039" w:type="dxa"/>
            <w:noWrap/>
            <w:hideMark/>
          </w:tcPr>
          <w:p w:rsidR="004D06DF" w:rsidRPr="006E3CE6" w:rsidRDefault="004D06DF" w:rsidP="004D06D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color w:val="000000" w:themeColor="text1"/>
              </w:rPr>
              <w:t>Mise en œuvre projets en cours</w:t>
            </w:r>
          </w:p>
        </w:tc>
        <w:tc>
          <w:tcPr>
            <w:tcW w:w="2693" w:type="dxa"/>
            <w:noWrap/>
            <w:hideMark/>
          </w:tcPr>
          <w:p w:rsidR="004D06DF" w:rsidRPr="006E3CE6" w:rsidRDefault="004D06DF" w:rsidP="004D06D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79</w:t>
            </w:r>
          </w:p>
        </w:tc>
      </w:tr>
      <w:tr w:rsidR="004D06DF" w:rsidRPr="006E3CE6" w:rsidTr="004D06DF">
        <w:trPr>
          <w:trHeight w:val="290"/>
        </w:trPr>
        <w:tc>
          <w:tcPr>
            <w:tcW w:w="4039" w:type="dxa"/>
            <w:noWrap/>
          </w:tcPr>
          <w:p w:rsidR="004D06DF" w:rsidRPr="006E3CE6" w:rsidRDefault="004D06DF" w:rsidP="004D06D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Mise en œuvre des projets à l’arrêt</w:t>
            </w:r>
          </w:p>
        </w:tc>
        <w:tc>
          <w:tcPr>
            <w:tcW w:w="2693" w:type="dxa"/>
            <w:noWrap/>
          </w:tcPr>
          <w:p w:rsidR="004D06DF" w:rsidRDefault="004D06DF" w:rsidP="004D06D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4D06DF" w:rsidRPr="00FE2A99" w:rsidTr="004D06DF">
        <w:trPr>
          <w:trHeight w:val="290"/>
        </w:trPr>
        <w:tc>
          <w:tcPr>
            <w:tcW w:w="4039" w:type="dxa"/>
            <w:noWrap/>
            <w:hideMark/>
          </w:tcPr>
          <w:p w:rsidR="004D06DF" w:rsidRPr="006E3CE6" w:rsidRDefault="004D06DF" w:rsidP="004D06D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E3CE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693" w:type="dxa"/>
            <w:noWrap/>
            <w:hideMark/>
          </w:tcPr>
          <w:p w:rsidR="004D06DF" w:rsidRPr="00FE2A99" w:rsidRDefault="004D06DF" w:rsidP="004D06D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238</w:t>
            </w:r>
          </w:p>
        </w:tc>
      </w:tr>
    </w:tbl>
    <w:p w:rsidR="004D06DF" w:rsidRPr="006E3CE6" w:rsidRDefault="004D06DF" w:rsidP="004D06DF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6E3802" w:rsidRDefault="004D06DF" w:rsidP="006B2C9A">
      <w:pPr>
        <w:jc w:val="both"/>
        <w:rPr>
          <w:rStyle w:val="Accentuation"/>
          <w:b/>
          <w:bCs/>
          <w:lang w:val="fr-CH" w:bidi="he-IL"/>
        </w:rPr>
      </w:pPr>
      <w:r>
        <w:rPr>
          <w:rStyle w:val="Accentuation"/>
          <w:b/>
          <w:bCs/>
          <w:lang w:val="fr-CH" w:bidi="he-IL"/>
        </w:rPr>
        <w:br w:type="textWrapping" w:clear="all"/>
      </w:r>
    </w:p>
    <w:p w:rsidR="000A591E" w:rsidRPr="00682A96" w:rsidRDefault="00E63416" w:rsidP="006B2C9A">
      <w:pPr>
        <w:pStyle w:val="Titre1"/>
        <w:rPr>
          <w:rStyle w:val="Accentuation"/>
          <w:rFonts w:ascii="Times New Roman" w:hAnsi="Times New Roman" w:cs="Times New Roman"/>
          <w:sz w:val="24"/>
          <w:szCs w:val="24"/>
        </w:rPr>
      </w:pPr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>7</w:t>
      </w:r>
      <w:r w:rsidR="000A591E" w:rsidRPr="00682A96">
        <w:rPr>
          <w:rStyle w:val="Accentuation"/>
          <w:rFonts w:ascii="Times New Roman" w:hAnsi="Times New Roman" w:cs="Times New Roman"/>
          <w:sz w:val="24"/>
          <w:szCs w:val="24"/>
        </w:rPr>
        <w:t>. Communication</w:t>
      </w:r>
      <w:bookmarkEnd w:id="8"/>
    </w:p>
    <w:p w:rsidR="000A591E" w:rsidRPr="00682A96" w:rsidRDefault="000A591E" w:rsidP="006B2C9A">
      <w:pPr>
        <w:jc w:val="both"/>
        <w:rPr>
          <w:rStyle w:val="Accentuation"/>
          <w:i w:val="0"/>
        </w:rPr>
      </w:pPr>
    </w:p>
    <w:p w:rsidR="0090144D" w:rsidRPr="00682A96" w:rsidRDefault="0090144D" w:rsidP="0090144D">
      <w:pPr>
        <w:jc w:val="both"/>
        <w:rPr>
          <w:rStyle w:val="Accentuation"/>
        </w:rPr>
      </w:pPr>
      <w:r w:rsidRPr="00682A96">
        <w:rPr>
          <w:rStyle w:val="Accentuation"/>
        </w:rPr>
        <w:t>Indicateurs :</w:t>
      </w:r>
    </w:p>
    <w:p w:rsidR="0090144D" w:rsidRPr="00682A96" w:rsidRDefault="0090144D" w:rsidP="0090144D">
      <w:pPr>
        <w:jc w:val="both"/>
        <w:rPr>
          <w:rStyle w:val="Accentuation"/>
        </w:rPr>
      </w:pPr>
    </w:p>
    <w:tbl>
      <w:tblPr>
        <w:tblStyle w:val="Grilledetableauclaire1"/>
        <w:tblW w:w="9031" w:type="dxa"/>
        <w:tblLook w:val="04A0" w:firstRow="1" w:lastRow="0" w:firstColumn="1" w:lastColumn="0" w:noHBand="0" w:noVBand="1"/>
      </w:tblPr>
      <w:tblGrid>
        <w:gridCol w:w="4675"/>
        <w:gridCol w:w="4356"/>
      </w:tblGrid>
      <w:tr w:rsidR="0090144D" w:rsidRPr="00682A96" w:rsidTr="00885CC6">
        <w:trPr>
          <w:trHeight w:val="81"/>
        </w:trPr>
        <w:tc>
          <w:tcPr>
            <w:tcW w:w="4675" w:type="dxa"/>
          </w:tcPr>
          <w:p w:rsidR="0090144D" w:rsidRPr="00682A96" w:rsidRDefault="0090144D" w:rsidP="00885CC6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Nombre de pièces publiées</w:t>
            </w:r>
          </w:p>
        </w:tc>
        <w:tc>
          <w:tcPr>
            <w:tcW w:w="4356" w:type="dxa"/>
          </w:tcPr>
          <w:p w:rsidR="0090144D" w:rsidRPr="00682A96" w:rsidRDefault="0090144D" w:rsidP="00885CC6">
            <w:pPr>
              <w:jc w:val="both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27</w:t>
            </w:r>
          </w:p>
        </w:tc>
      </w:tr>
      <w:tr w:rsidR="0090144D" w:rsidRPr="00682A96" w:rsidTr="00885CC6">
        <w:trPr>
          <w:trHeight w:val="274"/>
        </w:trPr>
        <w:tc>
          <w:tcPr>
            <w:tcW w:w="4675" w:type="dxa"/>
          </w:tcPr>
          <w:p w:rsidR="0090144D" w:rsidRPr="00682A96" w:rsidRDefault="0090144D" w:rsidP="00885CC6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Télévision</w:t>
            </w:r>
          </w:p>
        </w:tc>
        <w:tc>
          <w:tcPr>
            <w:tcW w:w="4356" w:type="dxa"/>
          </w:tcPr>
          <w:p w:rsidR="0090144D" w:rsidRPr="00682A96" w:rsidRDefault="0090144D" w:rsidP="00885CC6">
            <w:pPr>
              <w:jc w:val="both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3</w:t>
            </w:r>
          </w:p>
        </w:tc>
      </w:tr>
      <w:tr w:rsidR="0090144D" w:rsidRPr="00682A96" w:rsidTr="00885CC6">
        <w:trPr>
          <w:trHeight w:val="274"/>
        </w:trPr>
        <w:tc>
          <w:tcPr>
            <w:tcW w:w="4675" w:type="dxa"/>
          </w:tcPr>
          <w:p w:rsidR="0090144D" w:rsidRPr="00682A96" w:rsidRDefault="0090144D" w:rsidP="00885CC6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Internet</w:t>
            </w:r>
          </w:p>
        </w:tc>
        <w:tc>
          <w:tcPr>
            <w:tcW w:w="4356" w:type="dxa"/>
          </w:tcPr>
          <w:p w:rsidR="0090144D" w:rsidRPr="00682A96" w:rsidRDefault="0090144D" w:rsidP="00885CC6">
            <w:pPr>
              <w:jc w:val="both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17</w:t>
            </w:r>
          </w:p>
        </w:tc>
      </w:tr>
      <w:tr w:rsidR="0090144D" w:rsidRPr="00682A96" w:rsidTr="00885CC6">
        <w:trPr>
          <w:trHeight w:val="274"/>
        </w:trPr>
        <w:tc>
          <w:tcPr>
            <w:tcW w:w="4675" w:type="dxa"/>
          </w:tcPr>
          <w:p w:rsidR="0090144D" w:rsidRPr="00682A96" w:rsidRDefault="0090144D" w:rsidP="00885CC6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Presse écrite</w:t>
            </w:r>
          </w:p>
        </w:tc>
        <w:tc>
          <w:tcPr>
            <w:tcW w:w="4356" w:type="dxa"/>
          </w:tcPr>
          <w:p w:rsidR="0090144D" w:rsidRPr="00682A96" w:rsidRDefault="0090144D" w:rsidP="00885CC6">
            <w:pPr>
              <w:jc w:val="both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5</w:t>
            </w:r>
          </w:p>
        </w:tc>
      </w:tr>
      <w:tr w:rsidR="0090144D" w:rsidRPr="00682A96" w:rsidTr="00885CC6">
        <w:trPr>
          <w:trHeight w:val="274"/>
        </w:trPr>
        <w:tc>
          <w:tcPr>
            <w:tcW w:w="4675" w:type="dxa"/>
          </w:tcPr>
          <w:p w:rsidR="0090144D" w:rsidRPr="00682A96" w:rsidRDefault="0090144D" w:rsidP="00885CC6">
            <w:pPr>
              <w:jc w:val="both"/>
              <w:rPr>
                <w:rStyle w:val="Accentuation"/>
              </w:rPr>
            </w:pPr>
            <w:r w:rsidRPr="00682A96">
              <w:rPr>
                <w:rStyle w:val="Accentuation"/>
              </w:rPr>
              <w:t>Radio</w:t>
            </w:r>
          </w:p>
        </w:tc>
        <w:tc>
          <w:tcPr>
            <w:tcW w:w="4356" w:type="dxa"/>
          </w:tcPr>
          <w:p w:rsidR="0090144D" w:rsidRPr="00682A96" w:rsidRDefault="0090144D" w:rsidP="00885CC6">
            <w:pPr>
              <w:jc w:val="both"/>
              <w:rPr>
                <w:rStyle w:val="Accentuation"/>
                <w:color w:val="000000" w:themeColor="text1"/>
              </w:rPr>
            </w:pPr>
            <w:r>
              <w:rPr>
                <w:rStyle w:val="Accentuation"/>
                <w:color w:val="000000" w:themeColor="text1"/>
              </w:rPr>
              <w:t>2</w:t>
            </w:r>
          </w:p>
        </w:tc>
      </w:tr>
    </w:tbl>
    <w:p w:rsidR="0090144D" w:rsidRDefault="0090144D" w:rsidP="0090144D">
      <w:pPr>
        <w:jc w:val="both"/>
        <w:rPr>
          <w:rStyle w:val="Accentuation"/>
          <w:i w:val="0"/>
        </w:rPr>
      </w:pPr>
    </w:p>
    <w:p w:rsidR="0090144D" w:rsidRDefault="0090144D" w:rsidP="0090144D">
      <w:pPr>
        <w:jc w:val="both"/>
        <w:rPr>
          <w:rStyle w:val="Accentuation"/>
          <w:i w:val="0"/>
        </w:rPr>
      </w:pPr>
      <w:r w:rsidRPr="007A5FEE">
        <w:rPr>
          <w:rStyle w:val="Accentuation"/>
          <w:i w:val="0"/>
        </w:rPr>
        <w:t xml:space="preserve">Au cours du mois d'avril, la communication a enregistré un total de 27 pièces médiatiques produites et diffusées sur diverses plateformes de communication. Ces publications portent </w:t>
      </w:r>
      <w:r>
        <w:rPr>
          <w:rStyle w:val="Accentuation"/>
          <w:i w:val="0"/>
        </w:rPr>
        <w:t xml:space="preserve">notamment </w:t>
      </w:r>
      <w:r w:rsidRPr="007A5FEE">
        <w:rPr>
          <w:rStyle w:val="Accentuation"/>
          <w:i w:val="0"/>
        </w:rPr>
        <w:t>sur les ateliers de formation organisés par Conservation Justice dans les quatre départements de la province de l'Ogooué-Ivindo, en collaboration avec la Direction Pro</w:t>
      </w:r>
      <w:r>
        <w:rPr>
          <w:rStyle w:val="Accentuation"/>
          <w:i w:val="0"/>
        </w:rPr>
        <w:t>vinciale des Eaux et Forêts</w:t>
      </w:r>
      <w:r w:rsidRPr="007A5FEE">
        <w:rPr>
          <w:rStyle w:val="Accentuation"/>
          <w:i w:val="0"/>
        </w:rPr>
        <w:t xml:space="preserve"> et</w:t>
      </w:r>
      <w:r>
        <w:rPr>
          <w:rStyle w:val="Accentuation"/>
          <w:i w:val="0"/>
        </w:rPr>
        <w:t xml:space="preserve"> de l’ONG </w:t>
      </w:r>
      <w:proofErr w:type="spellStart"/>
      <w:r>
        <w:rPr>
          <w:rStyle w:val="Accentuation"/>
          <w:i w:val="0"/>
        </w:rPr>
        <w:t>Brainforest</w:t>
      </w:r>
      <w:proofErr w:type="spellEnd"/>
      <w:r>
        <w:rPr>
          <w:rStyle w:val="Accentuation"/>
          <w:i w:val="0"/>
        </w:rPr>
        <w:t>.</w:t>
      </w:r>
    </w:p>
    <w:p w:rsidR="0090144D" w:rsidRDefault="0090144D" w:rsidP="0090144D">
      <w:pPr>
        <w:jc w:val="both"/>
        <w:rPr>
          <w:rStyle w:val="Accentuation"/>
          <w:i w:val="0"/>
        </w:rPr>
      </w:pPr>
    </w:p>
    <w:p w:rsidR="0090144D" w:rsidRDefault="0090144D" w:rsidP="0090144D">
      <w:pPr>
        <w:jc w:val="both"/>
        <w:rPr>
          <w:rStyle w:val="Accentuation"/>
          <w:i w:val="0"/>
        </w:rPr>
      </w:pPr>
      <w:r>
        <w:rPr>
          <w:rStyle w:val="Accentuation"/>
          <w:i w:val="0"/>
        </w:rPr>
        <w:t xml:space="preserve">Ces ateliers </w:t>
      </w:r>
      <w:r w:rsidRPr="007A5FEE">
        <w:rPr>
          <w:rStyle w:val="Accentuation"/>
          <w:i w:val="0"/>
        </w:rPr>
        <w:t xml:space="preserve">qui se sont tenus du 26 mars </w:t>
      </w:r>
      <w:r>
        <w:rPr>
          <w:rStyle w:val="Accentuation"/>
          <w:i w:val="0"/>
        </w:rPr>
        <w:t>au 6 avril dernier,</w:t>
      </w:r>
      <w:r w:rsidRPr="007A5FEE">
        <w:rPr>
          <w:rStyle w:val="Accentuation"/>
          <w:i w:val="0"/>
        </w:rPr>
        <w:t xml:space="preserve"> portaient notamment sur la gestion et le suivi des forêts communautaires et des cahiers de charges contractuelles. </w:t>
      </w:r>
    </w:p>
    <w:p w:rsidR="0090144D" w:rsidRDefault="0090144D" w:rsidP="0090144D">
      <w:pPr>
        <w:jc w:val="both"/>
        <w:rPr>
          <w:rStyle w:val="Accentuation"/>
          <w:i w:val="0"/>
        </w:rPr>
      </w:pPr>
    </w:p>
    <w:p w:rsidR="0090144D" w:rsidRPr="00EA1ECC" w:rsidRDefault="0090144D" w:rsidP="0090144D">
      <w:pPr>
        <w:jc w:val="both"/>
        <w:rPr>
          <w:rStyle w:val="Accentuation"/>
          <w:i w:val="0"/>
        </w:rPr>
      </w:pPr>
      <w:r w:rsidRPr="007A5FEE">
        <w:rPr>
          <w:rStyle w:val="Accentuation"/>
          <w:i w:val="0"/>
        </w:rPr>
        <w:t>Il faut noter que ces ateliers de formation ont permis aux participants d'acquérir les connaissances et les outils nécessaires pour réussir la mise en œuvre des C</w:t>
      </w:r>
      <w:r>
        <w:rPr>
          <w:rStyle w:val="Accentuation"/>
          <w:i w:val="0"/>
        </w:rPr>
        <w:t xml:space="preserve">ahiers de </w:t>
      </w:r>
      <w:r w:rsidRPr="007A5FEE">
        <w:rPr>
          <w:rStyle w:val="Accentuation"/>
          <w:i w:val="0"/>
        </w:rPr>
        <w:t>C</w:t>
      </w:r>
      <w:r>
        <w:rPr>
          <w:rStyle w:val="Accentuation"/>
          <w:i w:val="0"/>
        </w:rPr>
        <w:t xml:space="preserve">harges </w:t>
      </w:r>
      <w:r w:rsidRPr="007A5FEE">
        <w:rPr>
          <w:rStyle w:val="Accentuation"/>
          <w:i w:val="0"/>
        </w:rPr>
        <w:t>C</w:t>
      </w:r>
      <w:r>
        <w:rPr>
          <w:rStyle w:val="Accentuation"/>
          <w:i w:val="0"/>
        </w:rPr>
        <w:t>ontractuelles</w:t>
      </w:r>
      <w:r w:rsidRPr="007A5FEE">
        <w:rPr>
          <w:rStyle w:val="Accentuation"/>
          <w:i w:val="0"/>
        </w:rPr>
        <w:t xml:space="preserve"> et gérer les F</w:t>
      </w:r>
      <w:r>
        <w:rPr>
          <w:rStyle w:val="Accentuation"/>
          <w:i w:val="0"/>
        </w:rPr>
        <w:t xml:space="preserve">orêts </w:t>
      </w:r>
      <w:r w:rsidRPr="007A5FEE">
        <w:rPr>
          <w:rStyle w:val="Accentuation"/>
          <w:i w:val="0"/>
        </w:rPr>
        <w:t>C</w:t>
      </w:r>
      <w:r>
        <w:rPr>
          <w:rStyle w:val="Accentuation"/>
          <w:i w:val="0"/>
        </w:rPr>
        <w:t>ommunautaires</w:t>
      </w:r>
      <w:r w:rsidRPr="007A5FEE">
        <w:rPr>
          <w:rStyle w:val="Accentuation"/>
          <w:i w:val="0"/>
        </w:rPr>
        <w:t xml:space="preserve"> de manière durable.</w:t>
      </w:r>
    </w:p>
    <w:p w:rsidR="00EA1ECC" w:rsidRPr="00682A96" w:rsidRDefault="00EA1ECC" w:rsidP="006B2C9A">
      <w:pPr>
        <w:jc w:val="both"/>
        <w:rPr>
          <w:rStyle w:val="Accentuation"/>
          <w:i w:val="0"/>
        </w:rPr>
      </w:pPr>
    </w:p>
    <w:p w:rsidR="000A591E" w:rsidRPr="00682A96" w:rsidRDefault="00E621AB" w:rsidP="006B2C9A">
      <w:pPr>
        <w:pStyle w:val="Titre1"/>
        <w:shd w:val="clear" w:color="auto" w:fill="000000" w:themeFill="text1"/>
        <w:ind w:left="720"/>
        <w:rPr>
          <w:rStyle w:val="Accentuation"/>
          <w:rFonts w:ascii="Times New Roman" w:hAnsi="Times New Roman" w:cs="Times New Roman"/>
          <w:sz w:val="24"/>
          <w:szCs w:val="24"/>
        </w:rPr>
      </w:pPr>
      <w:bookmarkStart w:id="9" w:name="_Toc330025956"/>
      <w:bookmarkStart w:id="10" w:name="_Toc7774931"/>
      <w:bookmarkStart w:id="11" w:name="_Toc118989105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 xml:space="preserve">8. </w:t>
      </w:r>
      <w:r w:rsidR="000A591E" w:rsidRPr="00682A96">
        <w:rPr>
          <w:rStyle w:val="Accentuation"/>
          <w:rFonts w:ascii="Times New Roman" w:hAnsi="Times New Roman" w:cs="Times New Roman"/>
          <w:sz w:val="24"/>
          <w:szCs w:val="24"/>
        </w:rPr>
        <w:t>Relations extérieures</w:t>
      </w:r>
      <w:bookmarkEnd w:id="9"/>
      <w:bookmarkEnd w:id="10"/>
      <w:bookmarkEnd w:id="11"/>
    </w:p>
    <w:p w:rsidR="000A591E" w:rsidRPr="00682A96" w:rsidRDefault="000A591E" w:rsidP="006B2C9A">
      <w:pPr>
        <w:jc w:val="both"/>
        <w:rPr>
          <w:lang w:val="fr-CH" w:bidi="he-IL"/>
        </w:rPr>
      </w:pPr>
    </w:p>
    <w:p w:rsidR="0012564C" w:rsidRPr="00682A96" w:rsidRDefault="0012564C" w:rsidP="006B2C9A">
      <w:pPr>
        <w:spacing w:after="240"/>
        <w:jc w:val="both"/>
        <w:rPr>
          <w:rStyle w:val="Accentuation"/>
          <w:b/>
          <w:i w:val="0"/>
        </w:rPr>
      </w:pPr>
      <w:r w:rsidRPr="00682A96">
        <w:rPr>
          <w:rStyle w:val="Accentuation"/>
          <w:b/>
        </w:rPr>
        <w:t>Indicateur</w:t>
      </w:r>
      <w:r w:rsidR="00F91A81" w:rsidRPr="00682A96">
        <w:rPr>
          <w:rStyle w:val="Accentuation"/>
          <w:b/>
        </w:rPr>
        <w:t>s</w:t>
      </w:r>
      <w:r w:rsidRPr="00682A96">
        <w:rPr>
          <w:rStyle w:val="Accentuation"/>
          <w:b/>
        </w:rPr>
        <w:t>:</w:t>
      </w:r>
    </w:p>
    <w:tbl>
      <w:tblPr>
        <w:tblStyle w:val="Grilledetableauclaire1"/>
        <w:tblW w:w="0" w:type="auto"/>
        <w:tblLook w:val="04A0" w:firstRow="1" w:lastRow="0" w:firstColumn="1" w:lastColumn="0" w:noHBand="0" w:noVBand="1"/>
      </w:tblPr>
      <w:tblGrid>
        <w:gridCol w:w="4350"/>
        <w:gridCol w:w="4380"/>
      </w:tblGrid>
      <w:tr w:rsidR="0012564C" w:rsidRPr="00682A96" w:rsidTr="004E4D64">
        <w:trPr>
          <w:trHeight w:val="323"/>
        </w:trPr>
        <w:tc>
          <w:tcPr>
            <w:tcW w:w="4350" w:type="dxa"/>
          </w:tcPr>
          <w:p w:rsidR="0012564C" w:rsidRPr="00682A96" w:rsidRDefault="0012564C" w:rsidP="006B2C9A">
            <w:pPr>
              <w:jc w:val="both"/>
              <w:rPr>
                <w:rStyle w:val="Accentuation"/>
                <w:i w:val="0"/>
              </w:rPr>
            </w:pPr>
            <w:r w:rsidRPr="00682A96">
              <w:rPr>
                <w:rStyle w:val="Accentuation"/>
              </w:rPr>
              <w:t>Nombre de rencontres</w:t>
            </w:r>
          </w:p>
        </w:tc>
        <w:tc>
          <w:tcPr>
            <w:tcW w:w="4380" w:type="dxa"/>
          </w:tcPr>
          <w:p w:rsidR="0012564C" w:rsidRPr="00682A96" w:rsidRDefault="00FA7C58" w:rsidP="006B2C9A">
            <w:pPr>
              <w:jc w:val="both"/>
              <w:rPr>
                <w:rStyle w:val="Accentuation"/>
                <w:i w:val="0"/>
              </w:rPr>
            </w:pPr>
            <w:r>
              <w:rPr>
                <w:rStyle w:val="Accentuation"/>
                <w:i w:val="0"/>
              </w:rPr>
              <w:t>00</w:t>
            </w:r>
          </w:p>
        </w:tc>
      </w:tr>
      <w:tr w:rsidR="0012564C" w:rsidRPr="00682A96" w:rsidTr="004E4D64">
        <w:trPr>
          <w:trHeight w:val="323"/>
        </w:trPr>
        <w:tc>
          <w:tcPr>
            <w:tcW w:w="4350" w:type="dxa"/>
          </w:tcPr>
          <w:p w:rsidR="0012564C" w:rsidRPr="00682A96" w:rsidRDefault="0012564C" w:rsidP="006B2C9A">
            <w:pPr>
              <w:jc w:val="both"/>
              <w:rPr>
                <w:rStyle w:val="Accentuation"/>
                <w:i w:val="0"/>
              </w:rPr>
            </w:pPr>
            <w:r w:rsidRPr="00682A96">
              <w:rPr>
                <w:rStyle w:val="Accentuation"/>
              </w:rPr>
              <w:t>Suivi de l’accord de collaboration</w:t>
            </w:r>
            <w:r w:rsidRPr="00682A96">
              <w:rPr>
                <w:rStyle w:val="Accentuation"/>
              </w:rPr>
              <w:tab/>
            </w:r>
          </w:p>
        </w:tc>
        <w:tc>
          <w:tcPr>
            <w:tcW w:w="4380" w:type="dxa"/>
          </w:tcPr>
          <w:p w:rsidR="0012564C" w:rsidRPr="00682A96" w:rsidRDefault="00FA7C58" w:rsidP="006B2C9A">
            <w:pPr>
              <w:jc w:val="both"/>
              <w:rPr>
                <w:rStyle w:val="Accentuation"/>
                <w:i w:val="0"/>
                <w:color w:val="000000" w:themeColor="text1"/>
              </w:rPr>
            </w:pPr>
            <w:r>
              <w:rPr>
                <w:rStyle w:val="Accentuation"/>
                <w:i w:val="0"/>
                <w:color w:val="000000" w:themeColor="text1"/>
              </w:rPr>
              <w:t>00</w:t>
            </w:r>
          </w:p>
        </w:tc>
      </w:tr>
      <w:tr w:rsidR="0012564C" w:rsidRPr="00682A96" w:rsidTr="004E4D64">
        <w:trPr>
          <w:trHeight w:val="297"/>
        </w:trPr>
        <w:tc>
          <w:tcPr>
            <w:tcW w:w="4350" w:type="dxa"/>
            <w:vAlign w:val="center"/>
          </w:tcPr>
          <w:p w:rsidR="0012564C" w:rsidRPr="00682A96" w:rsidRDefault="0012564C" w:rsidP="006B2C9A">
            <w:pPr>
              <w:jc w:val="both"/>
              <w:rPr>
                <w:rStyle w:val="Accentuation"/>
                <w:i w:val="0"/>
              </w:rPr>
            </w:pPr>
            <w:r w:rsidRPr="00682A96">
              <w:rPr>
                <w:rStyle w:val="Accentuation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:rsidR="0012564C" w:rsidRPr="00682A96" w:rsidRDefault="001901FB" w:rsidP="006B2C9A">
            <w:pPr>
              <w:jc w:val="both"/>
              <w:rPr>
                <w:rStyle w:val="Accentuation"/>
                <w:i w:val="0"/>
              </w:rPr>
            </w:pPr>
            <w:r>
              <w:rPr>
                <w:rStyle w:val="Accentuation"/>
                <w:i w:val="0"/>
              </w:rPr>
              <w:t>0</w:t>
            </w:r>
          </w:p>
        </w:tc>
      </w:tr>
    </w:tbl>
    <w:p w:rsidR="00B51CDB" w:rsidRDefault="00B51CDB" w:rsidP="006B2C9A">
      <w:pPr>
        <w:spacing w:line="276" w:lineRule="auto"/>
        <w:jc w:val="both"/>
        <w:rPr>
          <w:rStyle w:val="Accentuation"/>
          <w:i w:val="0"/>
        </w:rPr>
      </w:pPr>
    </w:p>
    <w:p w:rsidR="001901FB" w:rsidRDefault="004D06DF" w:rsidP="006B2C9A">
      <w:pPr>
        <w:jc w:val="both"/>
        <w:rPr>
          <w:rStyle w:val="Accentuation"/>
          <w:i w:val="0"/>
        </w:rPr>
      </w:pPr>
      <w:r>
        <w:rPr>
          <w:rStyle w:val="Accentuation"/>
          <w:i w:val="0"/>
        </w:rPr>
        <w:t>En dehors des participants aux ateliers, aucune rencontre externe n’a eu lieu ce mois.</w:t>
      </w:r>
    </w:p>
    <w:p w:rsidR="001901FB" w:rsidRDefault="001901FB" w:rsidP="006B2C9A">
      <w:pPr>
        <w:jc w:val="both"/>
        <w:rPr>
          <w:rStyle w:val="Accentuation"/>
          <w:i w:val="0"/>
        </w:rPr>
      </w:pPr>
    </w:p>
    <w:p w:rsidR="00913D36" w:rsidRDefault="00913D36">
      <w:pPr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br w:type="page"/>
      </w:r>
    </w:p>
    <w:p w:rsidR="00C043C8" w:rsidRPr="00682A96" w:rsidRDefault="00C043C8" w:rsidP="006B2C9A">
      <w:pPr>
        <w:jc w:val="both"/>
        <w:rPr>
          <w:rStyle w:val="Accentuation"/>
          <w:i w:val="0"/>
          <w:iCs w:val="0"/>
        </w:rPr>
      </w:pPr>
    </w:p>
    <w:p w:rsidR="000A591E" w:rsidRPr="00682A96" w:rsidRDefault="00E621AB" w:rsidP="006B2C9A">
      <w:pPr>
        <w:pStyle w:val="Titre1"/>
        <w:ind w:left="360"/>
        <w:rPr>
          <w:rStyle w:val="Accentuation"/>
          <w:rFonts w:ascii="Times New Roman" w:hAnsi="Times New Roman" w:cs="Times New Roman"/>
          <w:sz w:val="24"/>
          <w:szCs w:val="24"/>
        </w:rPr>
      </w:pPr>
      <w:bookmarkStart w:id="12" w:name="_Toc7774932"/>
      <w:bookmarkStart w:id="13" w:name="_Toc118989106"/>
      <w:r w:rsidRPr="00682A96">
        <w:rPr>
          <w:rStyle w:val="Accentuation"/>
          <w:rFonts w:ascii="Times New Roman" w:hAnsi="Times New Roman" w:cs="Times New Roman"/>
          <w:sz w:val="24"/>
          <w:szCs w:val="24"/>
        </w:rPr>
        <w:t xml:space="preserve">9. </w:t>
      </w:r>
      <w:r w:rsidR="000A591E" w:rsidRPr="00682A96">
        <w:rPr>
          <w:rStyle w:val="Accentuation"/>
          <w:rFonts w:ascii="Times New Roman" w:hAnsi="Times New Roman" w:cs="Times New Roman"/>
          <w:sz w:val="24"/>
          <w:szCs w:val="24"/>
        </w:rPr>
        <w:t>Conclusion</w:t>
      </w:r>
      <w:bookmarkEnd w:id="12"/>
      <w:bookmarkEnd w:id="13"/>
    </w:p>
    <w:p w:rsidR="005C1767" w:rsidRPr="00682A96" w:rsidRDefault="005C1767" w:rsidP="006B2C9A">
      <w:pPr>
        <w:jc w:val="both"/>
      </w:pPr>
    </w:p>
    <w:p w:rsidR="00F01043" w:rsidRDefault="00FE3AA7" w:rsidP="006B2C9A">
      <w:pPr>
        <w:jc w:val="both"/>
      </w:pPr>
      <w:r>
        <w:t xml:space="preserve">Ce mois d’avril a été concentré sur la suite et fin des ateliers de renforcement de capacité organisés dans l’Ogooué-Ivindo depuis la fin du mois de mars. </w:t>
      </w:r>
    </w:p>
    <w:p w:rsidR="00913D36" w:rsidRDefault="00913D36" w:rsidP="006B2C9A">
      <w:pPr>
        <w:jc w:val="both"/>
      </w:pPr>
    </w:p>
    <w:p w:rsidR="00FE3AA7" w:rsidRDefault="00FE3AA7" w:rsidP="006B2C9A">
      <w:pPr>
        <w:jc w:val="both"/>
      </w:pPr>
      <w:r>
        <w:t>L’équipe sociale a également travaillé sur l’élaboration d’un protocole de collecte de données démographiques pour une étude qui démarrer</w:t>
      </w:r>
      <w:r w:rsidR="00913D36">
        <w:t>a le mois prochain</w:t>
      </w:r>
      <w:r>
        <w:t>.</w:t>
      </w:r>
    </w:p>
    <w:p w:rsidR="004845B5" w:rsidRPr="00682A96" w:rsidRDefault="004845B5" w:rsidP="006B2C9A">
      <w:pPr>
        <w:spacing w:line="360" w:lineRule="auto"/>
        <w:jc w:val="both"/>
      </w:pPr>
    </w:p>
    <w:sectPr w:rsidR="004845B5" w:rsidRPr="00682A96" w:rsidSect="005B0B1A">
      <w:headerReference w:type="default" r:id="rId11"/>
      <w:footerReference w:type="default" r:id="rId12"/>
      <w:pgSz w:w="11906" w:h="16838"/>
      <w:pgMar w:top="1529" w:right="1417" w:bottom="962" w:left="1560" w:header="705" w:footer="5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0B1A" w:rsidRDefault="005B0B1A" w:rsidP="00CC204D">
      <w:r>
        <w:separator/>
      </w:r>
    </w:p>
  </w:endnote>
  <w:endnote w:type="continuationSeparator" w:id="0">
    <w:p w:rsidR="005B0B1A" w:rsidRDefault="005B0B1A" w:rsidP="00C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410A" w:rsidRDefault="00A9410A">
    <w:pPr>
      <w:shd w:val="clear" w:color="auto" w:fill="FFFFFF"/>
      <w:spacing w:before="12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Conservation Justice | BP 23903 Libreville | +241 074 23 38 65</w:t>
    </w:r>
  </w:p>
  <w:p w:rsidR="00A9410A" w:rsidRDefault="00A9410A">
    <w:pPr>
      <w:shd w:val="clear" w:color="auto" w:fill="FFFFFF"/>
      <w:spacing w:after="24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luc@conservation-justice.org | www.conservation-justice.org</w:t>
    </w:r>
  </w:p>
  <w:p w:rsidR="00A9410A" w:rsidRDefault="00A9410A" w:rsidP="00427387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7D33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B7D33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0B1A" w:rsidRDefault="005B0B1A" w:rsidP="00CC204D">
      <w:r>
        <w:separator/>
      </w:r>
    </w:p>
  </w:footnote>
  <w:footnote w:type="continuationSeparator" w:id="0">
    <w:p w:rsidR="005B0B1A" w:rsidRDefault="005B0B1A" w:rsidP="00CC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9410A" w:rsidRDefault="00A9410A">
    <w:pPr>
      <w:spacing w:line="276" w:lineRule="auto"/>
      <w:ind w:left="1843" w:right="1701"/>
      <w:jc w:val="center"/>
      <w:rPr>
        <w:rFonts w:eastAsia="Calibri"/>
        <w:bCs/>
        <w:iCs/>
        <w:color w:val="0D0D0D"/>
        <w:sz w:val="16"/>
        <w:szCs w:val="22"/>
      </w:rPr>
    </w:pPr>
    <w:r>
      <w:rPr>
        <w:rFonts w:eastAsia="Calibri"/>
        <w:bCs/>
        <w:iCs/>
        <w:color w:val="0D0D0D"/>
        <w:sz w:val="16"/>
        <w:szCs w:val="22"/>
      </w:rPr>
      <w:t>Projet d’Appui à la Lutte contre l’Exploitation Forestière Illégale – ALEFI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3CE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22F"/>
    <w:multiLevelType w:val="hybridMultilevel"/>
    <w:tmpl w:val="A9C0A3F6"/>
    <w:lvl w:ilvl="0" w:tplc="C6E271B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660"/>
    <w:multiLevelType w:val="hybridMultilevel"/>
    <w:tmpl w:val="CF904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424"/>
    <w:multiLevelType w:val="multilevel"/>
    <w:tmpl w:val="0CF46D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7A506E"/>
    <w:multiLevelType w:val="hybridMultilevel"/>
    <w:tmpl w:val="E0908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06FF"/>
    <w:multiLevelType w:val="multilevel"/>
    <w:tmpl w:val="0CF46D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43A1CA2"/>
    <w:multiLevelType w:val="hybridMultilevel"/>
    <w:tmpl w:val="695681E8"/>
    <w:lvl w:ilvl="0" w:tplc="08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4C46971"/>
    <w:multiLevelType w:val="hybridMultilevel"/>
    <w:tmpl w:val="A3A22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5B49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F4688"/>
    <w:multiLevelType w:val="hybridMultilevel"/>
    <w:tmpl w:val="8A06A85E"/>
    <w:lvl w:ilvl="0" w:tplc="68E468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55FE4"/>
    <w:multiLevelType w:val="hybridMultilevel"/>
    <w:tmpl w:val="E06AD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D7C60"/>
    <w:multiLevelType w:val="hybridMultilevel"/>
    <w:tmpl w:val="9B0A6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E03E1"/>
    <w:multiLevelType w:val="hybridMultilevel"/>
    <w:tmpl w:val="2292A4D2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4AB5333"/>
    <w:multiLevelType w:val="hybridMultilevel"/>
    <w:tmpl w:val="49885F7C"/>
    <w:lvl w:ilvl="0" w:tplc="7A6A90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4B7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C4569B6"/>
    <w:multiLevelType w:val="hybridMultilevel"/>
    <w:tmpl w:val="1876C896"/>
    <w:lvl w:ilvl="0" w:tplc="85FE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87907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E176A"/>
    <w:multiLevelType w:val="hybridMultilevel"/>
    <w:tmpl w:val="02C824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82272"/>
    <w:multiLevelType w:val="hybridMultilevel"/>
    <w:tmpl w:val="3886F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A167F"/>
    <w:multiLevelType w:val="hybridMultilevel"/>
    <w:tmpl w:val="3202BF56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8683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DD75449"/>
    <w:multiLevelType w:val="hybridMultilevel"/>
    <w:tmpl w:val="9156F3C6"/>
    <w:lvl w:ilvl="0" w:tplc="2000000F">
      <w:start w:val="1"/>
      <w:numFmt w:val="decimal"/>
      <w:lvlText w:val="%1."/>
      <w:lvlJc w:val="left"/>
      <w:pPr>
        <w:ind w:left="1152" w:hanging="360"/>
      </w:pPr>
    </w:lvl>
    <w:lvl w:ilvl="1" w:tplc="20000019" w:tentative="1">
      <w:start w:val="1"/>
      <w:numFmt w:val="lowerLetter"/>
      <w:lvlText w:val="%2."/>
      <w:lvlJc w:val="left"/>
      <w:pPr>
        <w:ind w:left="1872" w:hanging="360"/>
      </w:pPr>
    </w:lvl>
    <w:lvl w:ilvl="2" w:tplc="2000001B" w:tentative="1">
      <w:start w:val="1"/>
      <w:numFmt w:val="lowerRoman"/>
      <w:lvlText w:val="%3."/>
      <w:lvlJc w:val="right"/>
      <w:pPr>
        <w:ind w:left="2592" w:hanging="180"/>
      </w:pPr>
    </w:lvl>
    <w:lvl w:ilvl="3" w:tplc="2000000F" w:tentative="1">
      <w:start w:val="1"/>
      <w:numFmt w:val="decimal"/>
      <w:lvlText w:val="%4."/>
      <w:lvlJc w:val="left"/>
      <w:pPr>
        <w:ind w:left="3312" w:hanging="360"/>
      </w:pPr>
    </w:lvl>
    <w:lvl w:ilvl="4" w:tplc="20000019" w:tentative="1">
      <w:start w:val="1"/>
      <w:numFmt w:val="lowerLetter"/>
      <w:lvlText w:val="%5."/>
      <w:lvlJc w:val="left"/>
      <w:pPr>
        <w:ind w:left="4032" w:hanging="360"/>
      </w:pPr>
    </w:lvl>
    <w:lvl w:ilvl="5" w:tplc="2000001B" w:tentative="1">
      <w:start w:val="1"/>
      <w:numFmt w:val="lowerRoman"/>
      <w:lvlText w:val="%6."/>
      <w:lvlJc w:val="right"/>
      <w:pPr>
        <w:ind w:left="4752" w:hanging="180"/>
      </w:pPr>
    </w:lvl>
    <w:lvl w:ilvl="6" w:tplc="2000000F" w:tentative="1">
      <w:start w:val="1"/>
      <w:numFmt w:val="decimal"/>
      <w:lvlText w:val="%7."/>
      <w:lvlJc w:val="left"/>
      <w:pPr>
        <w:ind w:left="5472" w:hanging="360"/>
      </w:pPr>
    </w:lvl>
    <w:lvl w:ilvl="7" w:tplc="20000019" w:tentative="1">
      <w:start w:val="1"/>
      <w:numFmt w:val="lowerLetter"/>
      <w:lvlText w:val="%8."/>
      <w:lvlJc w:val="left"/>
      <w:pPr>
        <w:ind w:left="6192" w:hanging="360"/>
      </w:pPr>
    </w:lvl>
    <w:lvl w:ilvl="8" w:tplc="200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EA940D5"/>
    <w:multiLevelType w:val="hybridMultilevel"/>
    <w:tmpl w:val="97D41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07C6"/>
    <w:multiLevelType w:val="hybridMultilevel"/>
    <w:tmpl w:val="74BCB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1099F"/>
    <w:multiLevelType w:val="hybridMultilevel"/>
    <w:tmpl w:val="B2D66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4B9F"/>
    <w:multiLevelType w:val="multilevel"/>
    <w:tmpl w:val="056C5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EA4681A"/>
    <w:multiLevelType w:val="hybridMultilevel"/>
    <w:tmpl w:val="1AEAF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D07A6"/>
    <w:multiLevelType w:val="hybridMultilevel"/>
    <w:tmpl w:val="491053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13793">
    <w:abstractNumId w:val="14"/>
  </w:num>
  <w:num w:numId="2" w16cid:durableId="1618486270">
    <w:abstractNumId w:val="17"/>
  </w:num>
  <w:num w:numId="3" w16cid:durableId="674575453">
    <w:abstractNumId w:val="16"/>
  </w:num>
  <w:num w:numId="4" w16cid:durableId="570847857">
    <w:abstractNumId w:val="25"/>
  </w:num>
  <w:num w:numId="5" w16cid:durableId="1187913227">
    <w:abstractNumId w:val="21"/>
  </w:num>
  <w:num w:numId="6" w16cid:durableId="647438089">
    <w:abstractNumId w:val="13"/>
  </w:num>
  <w:num w:numId="7" w16cid:durableId="891037780">
    <w:abstractNumId w:val="19"/>
  </w:num>
  <w:num w:numId="8" w16cid:durableId="1909880947">
    <w:abstractNumId w:val="4"/>
  </w:num>
  <w:num w:numId="9" w16cid:durableId="1605844856">
    <w:abstractNumId w:val="0"/>
  </w:num>
  <w:num w:numId="10" w16cid:durableId="1292009297">
    <w:abstractNumId w:val="5"/>
  </w:num>
  <w:num w:numId="11" w16cid:durableId="1693412835">
    <w:abstractNumId w:val="6"/>
  </w:num>
  <w:num w:numId="12" w16cid:durableId="1607040137">
    <w:abstractNumId w:val="15"/>
  </w:num>
  <w:num w:numId="13" w16cid:durableId="1861046918">
    <w:abstractNumId w:val="23"/>
  </w:num>
  <w:num w:numId="14" w16cid:durableId="438451889">
    <w:abstractNumId w:val="3"/>
  </w:num>
  <w:num w:numId="15" w16cid:durableId="1213687596">
    <w:abstractNumId w:val="11"/>
  </w:num>
  <w:num w:numId="16" w16cid:durableId="896862639">
    <w:abstractNumId w:val="12"/>
  </w:num>
  <w:num w:numId="17" w16cid:durableId="376664258">
    <w:abstractNumId w:val="7"/>
  </w:num>
  <w:num w:numId="18" w16cid:durableId="570892896">
    <w:abstractNumId w:val="2"/>
  </w:num>
  <w:num w:numId="19" w16cid:durableId="1242837144">
    <w:abstractNumId w:val="10"/>
  </w:num>
  <w:num w:numId="20" w16cid:durableId="2065449149">
    <w:abstractNumId w:val="18"/>
  </w:num>
  <w:num w:numId="21" w16cid:durableId="1873614008">
    <w:abstractNumId w:val="22"/>
  </w:num>
  <w:num w:numId="22" w16cid:durableId="2077320887">
    <w:abstractNumId w:val="24"/>
  </w:num>
  <w:num w:numId="23" w16cid:durableId="2062821739">
    <w:abstractNumId w:val="26"/>
  </w:num>
  <w:num w:numId="24" w16cid:durableId="1484933137">
    <w:abstractNumId w:val="1"/>
  </w:num>
  <w:num w:numId="25" w16cid:durableId="825826952">
    <w:abstractNumId w:val="20"/>
  </w:num>
  <w:num w:numId="26" w16cid:durableId="8485025">
    <w:abstractNumId w:val="9"/>
  </w:num>
  <w:num w:numId="27" w16cid:durableId="1061831904">
    <w:abstractNumId w:val="8"/>
  </w:num>
  <w:num w:numId="28" w16cid:durableId="1823498939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4D"/>
    <w:rsid w:val="00002C42"/>
    <w:rsid w:val="00002F24"/>
    <w:rsid w:val="00003847"/>
    <w:rsid w:val="000041E2"/>
    <w:rsid w:val="0000449A"/>
    <w:rsid w:val="00004ECF"/>
    <w:rsid w:val="00006F64"/>
    <w:rsid w:val="000074B0"/>
    <w:rsid w:val="00007655"/>
    <w:rsid w:val="0001056B"/>
    <w:rsid w:val="00010B3B"/>
    <w:rsid w:val="00011E59"/>
    <w:rsid w:val="00012515"/>
    <w:rsid w:val="000167EF"/>
    <w:rsid w:val="00027A44"/>
    <w:rsid w:val="00027B55"/>
    <w:rsid w:val="00030F82"/>
    <w:rsid w:val="000312AE"/>
    <w:rsid w:val="00031F08"/>
    <w:rsid w:val="00032DF6"/>
    <w:rsid w:val="00032EC3"/>
    <w:rsid w:val="000337DB"/>
    <w:rsid w:val="0003548B"/>
    <w:rsid w:val="00035928"/>
    <w:rsid w:val="0003653E"/>
    <w:rsid w:val="00036660"/>
    <w:rsid w:val="0003666B"/>
    <w:rsid w:val="00037CAE"/>
    <w:rsid w:val="0004009C"/>
    <w:rsid w:val="00043D4D"/>
    <w:rsid w:val="000449C3"/>
    <w:rsid w:val="000453DD"/>
    <w:rsid w:val="000460B6"/>
    <w:rsid w:val="00047A63"/>
    <w:rsid w:val="00052AC0"/>
    <w:rsid w:val="0005384D"/>
    <w:rsid w:val="00055636"/>
    <w:rsid w:val="0005789E"/>
    <w:rsid w:val="000608B6"/>
    <w:rsid w:val="000624E8"/>
    <w:rsid w:val="00062961"/>
    <w:rsid w:val="000640EC"/>
    <w:rsid w:val="000642E2"/>
    <w:rsid w:val="00066CC4"/>
    <w:rsid w:val="000706A6"/>
    <w:rsid w:val="000706DB"/>
    <w:rsid w:val="000711CE"/>
    <w:rsid w:val="00071534"/>
    <w:rsid w:val="00072738"/>
    <w:rsid w:val="000736DA"/>
    <w:rsid w:val="00073DF9"/>
    <w:rsid w:val="000742D7"/>
    <w:rsid w:val="000742F1"/>
    <w:rsid w:val="000744CD"/>
    <w:rsid w:val="00074DED"/>
    <w:rsid w:val="000753CD"/>
    <w:rsid w:val="000769DB"/>
    <w:rsid w:val="00077DF3"/>
    <w:rsid w:val="000806A3"/>
    <w:rsid w:val="00080BCA"/>
    <w:rsid w:val="00084CA1"/>
    <w:rsid w:val="0008660D"/>
    <w:rsid w:val="00086C45"/>
    <w:rsid w:val="000870C7"/>
    <w:rsid w:val="0008735E"/>
    <w:rsid w:val="00087C2D"/>
    <w:rsid w:val="00091C1A"/>
    <w:rsid w:val="00092ADB"/>
    <w:rsid w:val="00092F97"/>
    <w:rsid w:val="000939F4"/>
    <w:rsid w:val="000A0A69"/>
    <w:rsid w:val="000A0C9B"/>
    <w:rsid w:val="000A11E5"/>
    <w:rsid w:val="000A206A"/>
    <w:rsid w:val="000A22F4"/>
    <w:rsid w:val="000A2582"/>
    <w:rsid w:val="000A278B"/>
    <w:rsid w:val="000A3182"/>
    <w:rsid w:val="000A450D"/>
    <w:rsid w:val="000A591E"/>
    <w:rsid w:val="000A6201"/>
    <w:rsid w:val="000A6485"/>
    <w:rsid w:val="000A74F6"/>
    <w:rsid w:val="000B1F63"/>
    <w:rsid w:val="000B1F78"/>
    <w:rsid w:val="000B3660"/>
    <w:rsid w:val="000B47ED"/>
    <w:rsid w:val="000C0836"/>
    <w:rsid w:val="000C12B0"/>
    <w:rsid w:val="000C2A36"/>
    <w:rsid w:val="000C3DE7"/>
    <w:rsid w:val="000C3FB0"/>
    <w:rsid w:val="000C47A4"/>
    <w:rsid w:val="000C5944"/>
    <w:rsid w:val="000D0BC0"/>
    <w:rsid w:val="000D2518"/>
    <w:rsid w:val="000D4905"/>
    <w:rsid w:val="000D58D1"/>
    <w:rsid w:val="000E06F5"/>
    <w:rsid w:val="000E263A"/>
    <w:rsid w:val="000E4E92"/>
    <w:rsid w:val="000E6DBC"/>
    <w:rsid w:val="000E7479"/>
    <w:rsid w:val="000E79C4"/>
    <w:rsid w:val="000F09E8"/>
    <w:rsid w:val="000F0A2F"/>
    <w:rsid w:val="000F4112"/>
    <w:rsid w:val="000F47CE"/>
    <w:rsid w:val="000F5829"/>
    <w:rsid w:val="000F6E6F"/>
    <w:rsid w:val="000F75DD"/>
    <w:rsid w:val="000F7AAA"/>
    <w:rsid w:val="0010142C"/>
    <w:rsid w:val="001021DD"/>
    <w:rsid w:val="00102D72"/>
    <w:rsid w:val="001036F8"/>
    <w:rsid w:val="001043E2"/>
    <w:rsid w:val="001057B6"/>
    <w:rsid w:val="00106DB0"/>
    <w:rsid w:val="0010777C"/>
    <w:rsid w:val="001077DD"/>
    <w:rsid w:val="00107CD2"/>
    <w:rsid w:val="00110E85"/>
    <w:rsid w:val="00110F99"/>
    <w:rsid w:val="00111562"/>
    <w:rsid w:val="001117ED"/>
    <w:rsid w:val="00113A5A"/>
    <w:rsid w:val="00114E15"/>
    <w:rsid w:val="00115B11"/>
    <w:rsid w:val="00116F98"/>
    <w:rsid w:val="00117CBB"/>
    <w:rsid w:val="00120AF9"/>
    <w:rsid w:val="001221E5"/>
    <w:rsid w:val="0012236E"/>
    <w:rsid w:val="001225AB"/>
    <w:rsid w:val="001231E8"/>
    <w:rsid w:val="00123432"/>
    <w:rsid w:val="0012379D"/>
    <w:rsid w:val="001237BA"/>
    <w:rsid w:val="00123E79"/>
    <w:rsid w:val="00124799"/>
    <w:rsid w:val="0012564C"/>
    <w:rsid w:val="001273CA"/>
    <w:rsid w:val="00127608"/>
    <w:rsid w:val="0012781B"/>
    <w:rsid w:val="0013151A"/>
    <w:rsid w:val="001317E5"/>
    <w:rsid w:val="00132E04"/>
    <w:rsid w:val="00134B35"/>
    <w:rsid w:val="00136682"/>
    <w:rsid w:val="00141743"/>
    <w:rsid w:val="00141D67"/>
    <w:rsid w:val="00142035"/>
    <w:rsid w:val="001420CC"/>
    <w:rsid w:val="00142E37"/>
    <w:rsid w:val="00142E73"/>
    <w:rsid w:val="001430EF"/>
    <w:rsid w:val="00144D99"/>
    <w:rsid w:val="001465B5"/>
    <w:rsid w:val="001502A9"/>
    <w:rsid w:val="00151CB6"/>
    <w:rsid w:val="00152A0B"/>
    <w:rsid w:val="001554F9"/>
    <w:rsid w:val="0016100B"/>
    <w:rsid w:val="00161B55"/>
    <w:rsid w:val="00164959"/>
    <w:rsid w:val="0016505E"/>
    <w:rsid w:val="001651F3"/>
    <w:rsid w:val="0016589B"/>
    <w:rsid w:val="001708C3"/>
    <w:rsid w:val="00170E60"/>
    <w:rsid w:val="0017114D"/>
    <w:rsid w:val="00172A5E"/>
    <w:rsid w:val="001742E4"/>
    <w:rsid w:val="00174C33"/>
    <w:rsid w:val="00174D9B"/>
    <w:rsid w:val="00175910"/>
    <w:rsid w:val="00176291"/>
    <w:rsid w:val="00176861"/>
    <w:rsid w:val="00177C66"/>
    <w:rsid w:val="001803D4"/>
    <w:rsid w:val="00181747"/>
    <w:rsid w:val="00181B4E"/>
    <w:rsid w:val="0018366F"/>
    <w:rsid w:val="00185621"/>
    <w:rsid w:val="00185E86"/>
    <w:rsid w:val="00186BFE"/>
    <w:rsid w:val="00187542"/>
    <w:rsid w:val="00187713"/>
    <w:rsid w:val="00187E3D"/>
    <w:rsid w:val="001901FB"/>
    <w:rsid w:val="001907C8"/>
    <w:rsid w:val="00190B84"/>
    <w:rsid w:val="0019220E"/>
    <w:rsid w:val="001926F2"/>
    <w:rsid w:val="00192B9A"/>
    <w:rsid w:val="00192C13"/>
    <w:rsid w:val="001948BD"/>
    <w:rsid w:val="00194A29"/>
    <w:rsid w:val="001962BA"/>
    <w:rsid w:val="00196753"/>
    <w:rsid w:val="0019787F"/>
    <w:rsid w:val="001A026B"/>
    <w:rsid w:val="001A105E"/>
    <w:rsid w:val="001A2024"/>
    <w:rsid w:val="001A3363"/>
    <w:rsid w:val="001A49E8"/>
    <w:rsid w:val="001A5563"/>
    <w:rsid w:val="001A7BAD"/>
    <w:rsid w:val="001B01BE"/>
    <w:rsid w:val="001B0483"/>
    <w:rsid w:val="001B2607"/>
    <w:rsid w:val="001B2E26"/>
    <w:rsid w:val="001B5A9A"/>
    <w:rsid w:val="001B5E06"/>
    <w:rsid w:val="001B6246"/>
    <w:rsid w:val="001B6751"/>
    <w:rsid w:val="001B7190"/>
    <w:rsid w:val="001B7308"/>
    <w:rsid w:val="001C2374"/>
    <w:rsid w:val="001C2E15"/>
    <w:rsid w:val="001C361D"/>
    <w:rsid w:val="001C3900"/>
    <w:rsid w:val="001C416F"/>
    <w:rsid w:val="001C4CB6"/>
    <w:rsid w:val="001C6ED0"/>
    <w:rsid w:val="001C7AE8"/>
    <w:rsid w:val="001C7C5E"/>
    <w:rsid w:val="001C7D49"/>
    <w:rsid w:val="001D0C3E"/>
    <w:rsid w:val="001D1CAB"/>
    <w:rsid w:val="001D27B6"/>
    <w:rsid w:val="001D3943"/>
    <w:rsid w:val="001D3C56"/>
    <w:rsid w:val="001D4081"/>
    <w:rsid w:val="001D5779"/>
    <w:rsid w:val="001E5760"/>
    <w:rsid w:val="001E63D1"/>
    <w:rsid w:val="001E66F2"/>
    <w:rsid w:val="001F460B"/>
    <w:rsid w:val="001F58A1"/>
    <w:rsid w:val="001F5A3C"/>
    <w:rsid w:val="001F6560"/>
    <w:rsid w:val="001F6E26"/>
    <w:rsid w:val="001F6EAC"/>
    <w:rsid w:val="001F7E90"/>
    <w:rsid w:val="001F7FB4"/>
    <w:rsid w:val="00201A84"/>
    <w:rsid w:val="002026C4"/>
    <w:rsid w:val="00203B7F"/>
    <w:rsid w:val="00203F52"/>
    <w:rsid w:val="002042A7"/>
    <w:rsid w:val="0020491E"/>
    <w:rsid w:val="002068FC"/>
    <w:rsid w:val="0020712D"/>
    <w:rsid w:val="00207A5D"/>
    <w:rsid w:val="002101B9"/>
    <w:rsid w:val="0021033A"/>
    <w:rsid w:val="00210BFF"/>
    <w:rsid w:val="00210DD6"/>
    <w:rsid w:val="00215C87"/>
    <w:rsid w:val="002164AA"/>
    <w:rsid w:val="0021688E"/>
    <w:rsid w:val="00217083"/>
    <w:rsid w:val="00217605"/>
    <w:rsid w:val="00217806"/>
    <w:rsid w:val="00217DC1"/>
    <w:rsid w:val="00220406"/>
    <w:rsid w:val="00220446"/>
    <w:rsid w:val="002216E6"/>
    <w:rsid w:val="0022233E"/>
    <w:rsid w:val="00222E30"/>
    <w:rsid w:val="00223D40"/>
    <w:rsid w:val="002240A3"/>
    <w:rsid w:val="002248B4"/>
    <w:rsid w:val="00225103"/>
    <w:rsid w:val="0022568B"/>
    <w:rsid w:val="002260DB"/>
    <w:rsid w:val="00227748"/>
    <w:rsid w:val="00234404"/>
    <w:rsid w:val="00234D76"/>
    <w:rsid w:val="00236954"/>
    <w:rsid w:val="00237F08"/>
    <w:rsid w:val="002408B0"/>
    <w:rsid w:val="00240D03"/>
    <w:rsid w:val="00241328"/>
    <w:rsid w:val="002431F9"/>
    <w:rsid w:val="00244071"/>
    <w:rsid w:val="00244FDB"/>
    <w:rsid w:val="00244FF5"/>
    <w:rsid w:val="002453AF"/>
    <w:rsid w:val="00245803"/>
    <w:rsid w:val="002469AC"/>
    <w:rsid w:val="002501FD"/>
    <w:rsid w:val="002510F3"/>
    <w:rsid w:val="00251165"/>
    <w:rsid w:val="002514EF"/>
    <w:rsid w:val="0025275F"/>
    <w:rsid w:val="00252B1B"/>
    <w:rsid w:val="00253011"/>
    <w:rsid w:val="00254EBB"/>
    <w:rsid w:val="0025527A"/>
    <w:rsid w:val="00255399"/>
    <w:rsid w:val="00260A62"/>
    <w:rsid w:val="00260EBF"/>
    <w:rsid w:val="00261453"/>
    <w:rsid w:val="002614D1"/>
    <w:rsid w:val="00261B76"/>
    <w:rsid w:val="00261CEE"/>
    <w:rsid w:val="0026215B"/>
    <w:rsid w:val="00263010"/>
    <w:rsid w:val="002637B1"/>
    <w:rsid w:val="00263D06"/>
    <w:rsid w:val="002642F0"/>
    <w:rsid w:val="00265371"/>
    <w:rsid w:val="00267393"/>
    <w:rsid w:val="00267BD8"/>
    <w:rsid w:val="00270898"/>
    <w:rsid w:val="002708EA"/>
    <w:rsid w:val="00271614"/>
    <w:rsid w:val="002720A4"/>
    <w:rsid w:val="0027392E"/>
    <w:rsid w:val="00273F5C"/>
    <w:rsid w:val="00275088"/>
    <w:rsid w:val="00276090"/>
    <w:rsid w:val="0027622F"/>
    <w:rsid w:val="00277ADC"/>
    <w:rsid w:val="002809E1"/>
    <w:rsid w:val="0028191D"/>
    <w:rsid w:val="00281CA8"/>
    <w:rsid w:val="00286B31"/>
    <w:rsid w:val="0028772B"/>
    <w:rsid w:val="00290525"/>
    <w:rsid w:val="00293BB6"/>
    <w:rsid w:val="0029558B"/>
    <w:rsid w:val="00295DDA"/>
    <w:rsid w:val="00297614"/>
    <w:rsid w:val="002A0006"/>
    <w:rsid w:val="002A1BA9"/>
    <w:rsid w:val="002A1F5B"/>
    <w:rsid w:val="002A28A1"/>
    <w:rsid w:val="002A297A"/>
    <w:rsid w:val="002A419F"/>
    <w:rsid w:val="002A5297"/>
    <w:rsid w:val="002A5834"/>
    <w:rsid w:val="002A75F9"/>
    <w:rsid w:val="002A7BD6"/>
    <w:rsid w:val="002B6495"/>
    <w:rsid w:val="002B703B"/>
    <w:rsid w:val="002C1553"/>
    <w:rsid w:val="002C3839"/>
    <w:rsid w:val="002C7A3E"/>
    <w:rsid w:val="002C7F48"/>
    <w:rsid w:val="002D01A4"/>
    <w:rsid w:val="002D1257"/>
    <w:rsid w:val="002D1676"/>
    <w:rsid w:val="002D2AD8"/>
    <w:rsid w:val="002D3EDE"/>
    <w:rsid w:val="002D74E1"/>
    <w:rsid w:val="002D7D17"/>
    <w:rsid w:val="002E0AD0"/>
    <w:rsid w:val="002E36E2"/>
    <w:rsid w:val="002E39D3"/>
    <w:rsid w:val="002E4599"/>
    <w:rsid w:val="002E4CFC"/>
    <w:rsid w:val="002E6DC4"/>
    <w:rsid w:val="002F0161"/>
    <w:rsid w:val="002F0A1B"/>
    <w:rsid w:val="002F285F"/>
    <w:rsid w:val="002F2C00"/>
    <w:rsid w:val="002F39B1"/>
    <w:rsid w:val="002F4363"/>
    <w:rsid w:val="002F6162"/>
    <w:rsid w:val="002F631A"/>
    <w:rsid w:val="003012F6"/>
    <w:rsid w:val="003026BB"/>
    <w:rsid w:val="00303F9C"/>
    <w:rsid w:val="00304054"/>
    <w:rsid w:val="00306EFF"/>
    <w:rsid w:val="003072CA"/>
    <w:rsid w:val="00310E42"/>
    <w:rsid w:val="0031175A"/>
    <w:rsid w:val="003120E7"/>
    <w:rsid w:val="003132D1"/>
    <w:rsid w:val="00314217"/>
    <w:rsid w:val="003150CF"/>
    <w:rsid w:val="003154A5"/>
    <w:rsid w:val="0031572C"/>
    <w:rsid w:val="00316063"/>
    <w:rsid w:val="003168E4"/>
    <w:rsid w:val="00316DD4"/>
    <w:rsid w:val="00316F10"/>
    <w:rsid w:val="0032053F"/>
    <w:rsid w:val="0032064B"/>
    <w:rsid w:val="00321EB5"/>
    <w:rsid w:val="00322A8A"/>
    <w:rsid w:val="00323320"/>
    <w:rsid w:val="00323ED2"/>
    <w:rsid w:val="0032402B"/>
    <w:rsid w:val="00326007"/>
    <w:rsid w:val="00330C62"/>
    <w:rsid w:val="003317FE"/>
    <w:rsid w:val="00332549"/>
    <w:rsid w:val="00332808"/>
    <w:rsid w:val="00333AE7"/>
    <w:rsid w:val="00337AC1"/>
    <w:rsid w:val="00340578"/>
    <w:rsid w:val="00344836"/>
    <w:rsid w:val="00345849"/>
    <w:rsid w:val="00345B48"/>
    <w:rsid w:val="00345B9C"/>
    <w:rsid w:val="00346BFC"/>
    <w:rsid w:val="003475A5"/>
    <w:rsid w:val="00350464"/>
    <w:rsid w:val="003506F1"/>
    <w:rsid w:val="003516E9"/>
    <w:rsid w:val="00352438"/>
    <w:rsid w:val="00352759"/>
    <w:rsid w:val="00352766"/>
    <w:rsid w:val="00352A8D"/>
    <w:rsid w:val="00354A3A"/>
    <w:rsid w:val="00355769"/>
    <w:rsid w:val="003563BB"/>
    <w:rsid w:val="00356E63"/>
    <w:rsid w:val="00357D35"/>
    <w:rsid w:val="00357DEE"/>
    <w:rsid w:val="003602C0"/>
    <w:rsid w:val="00360F89"/>
    <w:rsid w:val="00362AF5"/>
    <w:rsid w:val="00362E99"/>
    <w:rsid w:val="0036415B"/>
    <w:rsid w:val="00364198"/>
    <w:rsid w:val="00364F4C"/>
    <w:rsid w:val="00365034"/>
    <w:rsid w:val="00365B76"/>
    <w:rsid w:val="003665DB"/>
    <w:rsid w:val="00370AB5"/>
    <w:rsid w:val="00370F9C"/>
    <w:rsid w:val="003714DA"/>
    <w:rsid w:val="00372B36"/>
    <w:rsid w:val="00373572"/>
    <w:rsid w:val="00373D9A"/>
    <w:rsid w:val="003744B1"/>
    <w:rsid w:val="003746D9"/>
    <w:rsid w:val="00374E28"/>
    <w:rsid w:val="0037519C"/>
    <w:rsid w:val="003755E1"/>
    <w:rsid w:val="00377CC7"/>
    <w:rsid w:val="003811F4"/>
    <w:rsid w:val="00382734"/>
    <w:rsid w:val="003841DE"/>
    <w:rsid w:val="003845F1"/>
    <w:rsid w:val="003856C5"/>
    <w:rsid w:val="003866CA"/>
    <w:rsid w:val="00386721"/>
    <w:rsid w:val="00393532"/>
    <w:rsid w:val="00393F47"/>
    <w:rsid w:val="003943DC"/>
    <w:rsid w:val="00396CF9"/>
    <w:rsid w:val="003A0619"/>
    <w:rsid w:val="003A30D4"/>
    <w:rsid w:val="003A52F4"/>
    <w:rsid w:val="003A657A"/>
    <w:rsid w:val="003A79AA"/>
    <w:rsid w:val="003A7F1F"/>
    <w:rsid w:val="003B124D"/>
    <w:rsid w:val="003B4630"/>
    <w:rsid w:val="003B50F7"/>
    <w:rsid w:val="003B55D7"/>
    <w:rsid w:val="003B5DB5"/>
    <w:rsid w:val="003B6AC0"/>
    <w:rsid w:val="003B7AAD"/>
    <w:rsid w:val="003B7D33"/>
    <w:rsid w:val="003B7EBC"/>
    <w:rsid w:val="003C0487"/>
    <w:rsid w:val="003C0496"/>
    <w:rsid w:val="003C159F"/>
    <w:rsid w:val="003C2869"/>
    <w:rsid w:val="003C296C"/>
    <w:rsid w:val="003C2A49"/>
    <w:rsid w:val="003C399E"/>
    <w:rsid w:val="003C3AAF"/>
    <w:rsid w:val="003C3FFD"/>
    <w:rsid w:val="003C41C4"/>
    <w:rsid w:val="003C70DB"/>
    <w:rsid w:val="003D142F"/>
    <w:rsid w:val="003D39E3"/>
    <w:rsid w:val="003D56E8"/>
    <w:rsid w:val="003D6A97"/>
    <w:rsid w:val="003D7509"/>
    <w:rsid w:val="003E2557"/>
    <w:rsid w:val="003E4F57"/>
    <w:rsid w:val="003E4F6E"/>
    <w:rsid w:val="003E623A"/>
    <w:rsid w:val="003F0FCC"/>
    <w:rsid w:val="003F11F9"/>
    <w:rsid w:val="003F4DEE"/>
    <w:rsid w:val="003F5B0D"/>
    <w:rsid w:val="003F7034"/>
    <w:rsid w:val="003F7C54"/>
    <w:rsid w:val="004000D6"/>
    <w:rsid w:val="004005FB"/>
    <w:rsid w:val="00400B9D"/>
    <w:rsid w:val="004011B4"/>
    <w:rsid w:val="004014AF"/>
    <w:rsid w:val="00401A5B"/>
    <w:rsid w:val="004034AA"/>
    <w:rsid w:val="00403EF8"/>
    <w:rsid w:val="004048CF"/>
    <w:rsid w:val="00405980"/>
    <w:rsid w:val="00407572"/>
    <w:rsid w:val="00407809"/>
    <w:rsid w:val="0041010A"/>
    <w:rsid w:val="004112CA"/>
    <w:rsid w:val="004120E7"/>
    <w:rsid w:val="004138DD"/>
    <w:rsid w:val="0041481C"/>
    <w:rsid w:val="0041524B"/>
    <w:rsid w:val="00415D56"/>
    <w:rsid w:val="004161D1"/>
    <w:rsid w:val="00416633"/>
    <w:rsid w:val="0041690D"/>
    <w:rsid w:val="00416945"/>
    <w:rsid w:val="004172AA"/>
    <w:rsid w:val="004179BD"/>
    <w:rsid w:val="0042007A"/>
    <w:rsid w:val="00420682"/>
    <w:rsid w:val="00420A6D"/>
    <w:rsid w:val="00423893"/>
    <w:rsid w:val="00423920"/>
    <w:rsid w:val="00423BDA"/>
    <w:rsid w:val="00423EFB"/>
    <w:rsid w:val="004243BF"/>
    <w:rsid w:val="0042518E"/>
    <w:rsid w:val="00425B67"/>
    <w:rsid w:val="0042608C"/>
    <w:rsid w:val="0042718A"/>
    <w:rsid w:val="00427387"/>
    <w:rsid w:val="004306EF"/>
    <w:rsid w:val="0043396A"/>
    <w:rsid w:val="0043486B"/>
    <w:rsid w:val="00435C81"/>
    <w:rsid w:val="00435D07"/>
    <w:rsid w:val="0044039E"/>
    <w:rsid w:val="00440796"/>
    <w:rsid w:val="00441F03"/>
    <w:rsid w:val="00442643"/>
    <w:rsid w:val="00443FE7"/>
    <w:rsid w:val="00445030"/>
    <w:rsid w:val="0044581C"/>
    <w:rsid w:val="00445FCB"/>
    <w:rsid w:val="00446D25"/>
    <w:rsid w:val="004474D4"/>
    <w:rsid w:val="00447C4D"/>
    <w:rsid w:val="004515F9"/>
    <w:rsid w:val="00452981"/>
    <w:rsid w:val="004534EB"/>
    <w:rsid w:val="0045362E"/>
    <w:rsid w:val="00454133"/>
    <w:rsid w:val="004553BA"/>
    <w:rsid w:val="00455A76"/>
    <w:rsid w:val="00456AAA"/>
    <w:rsid w:val="00456B98"/>
    <w:rsid w:val="0045762C"/>
    <w:rsid w:val="004627FF"/>
    <w:rsid w:val="0046295C"/>
    <w:rsid w:val="004646BA"/>
    <w:rsid w:val="0046518C"/>
    <w:rsid w:val="00465753"/>
    <w:rsid w:val="00466999"/>
    <w:rsid w:val="004714EF"/>
    <w:rsid w:val="0047156F"/>
    <w:rsid w:val="00471970"/>
    <w:rsid w:val="004752F9"/>
    <w:rsid w:val="00475C0E"/>
    <w:rsid w:val="004776FD"/>
    <w:rsid w:val="00477C10"/>
    <w:rsid w:val="0048039A"/>
    <w:rsid w:val="00480BCD"/>
    <w:rsid w:val="00480E6F"/>
    <w:rsid w:val="0048345D"/>
    <w:rsid w:val="004845B5"/>
    <w:rsid w:val="00485B58"/>
    <w:rsid w:val="00486D78"/>
    <w:rsid w:val="00487019"/>
    <w:rsid w:val="00487504"/>
    <w:rsid w:val="004877EE"/>
    <w:rsid w:val="00487D25"/>
    <w:rsid w:val="00490EED"/>
    <w:rsid w:val="004929AC"/>
    <w:rsid w:val="00494536"/>
    <w:rsid w:val="0049685E"/>
    <w:rsid w:val="00497459"/>
    <w:rsid w:val="00497A04"/>
    <w:rsid w:val="004A0025"/>
    <w:rsid w:val="004A0846"/>
    <w:rsid w:val="004A1513"/>
    <w:rsid w:val="004A1E34"/>
    <w:rsid w:val="004A4487"/>
    <w:rsid w:val="004A476D"/>
    <w:rsid w:val="004A53EF"/>
    <w:rsid w:val="004A688C"/>
    <w:rsid w:val="004A699A"/>
    <w:rsid w:val="004A6D06"/>
    <w:rsid w:val="004A7746"/>
    <w:rsid w:val="004A7D38"/>
    <w:rsid w:val="004B1B37"/>
    <w:rsid w:val="004B31D5"/>
    <w:rsid w:val="004B3390"/>
    <w:rsid w:val="004B3E3A"/>
    <w:rsid w:val="004B4199"/>
    <w:rsid w:val="004B552D"/>
    <w:rsid w:val="004C0222"/>
    <w:rsid w:val="004C085E"/>
    <w:rsid w:val="004C10A5"/>
    <w:rsid w:val="004C2744"/>
    <w:rsid w:val="004C3419"/>
    <w:rsid w:val="004C52CB"/>
    <w:rsid w:val="004C59A1"/>
    <w:rsid w:val="004C67BE"/>
    <w:rsid w:val="004D06DF"/>
    <w:rsid w:val="004D0A42"/>
    <w:rsid w:val="004D13BA"/>
    <w:rsid w:val="004D2FC4"/>
    <w:rsid w:val="004D312E"/>
    <w:rsid w:val="004D5528"/>
    <w:rsid w:val="004E02F8"/>
    <w:rsid w:val="004E0456"/>
    <w:rsid w:val="004E08FD"/>
    <w:rsid w:val="004E0D00"/>
    <w:rsid w:val="004E1C32"/>
    <w:rsid w:val="004E1F1F"/>
    <w:rsid w:val="004E35D8"/>
    <w:rsid w:val="004E4D64"/>
    <w:rsid w:val="004E66E3"/>
    <w:rsid w:val="004E7AAC"/>
    <w:rsid w:val="004E7D19"/>
    <w:rsid w:val="004E7E22"/>
    <w:rsid w:val="004F10DB"/>
    <w:rsid w:val="004F1645"/>
    <w:rsid w:val="004F1A0F"/>
    <w:rsid w:val="004F3335"/>
    <w:rsid w:val="004F42D2"/>
    <w:rsid w:val="004F42F6"/>
    <w:rsid w:val="004F47B7"/>
    <w:rsid w:val="004F4E62"/>
    <w:rsid w:val="004F5028"/>
    <w:rsid w:val="004F526D"/>
    <w:rsid w:val="004F5A62"/>
    <w:rsid w:val="004F65C0"/>
    <w:rsid w:val="004F6758"/>
    <w:rsid w:val="004F67EB"/>
    <w:rsid w:val="00500234"/>
    <w:rsid w:val="00500ACB"/>
    <w:rsid w:val="005010D7"/>
    <w:rsid w:val="0050262A"/>
    <w:rsid w:val="005026EB"/>
    <w:rsid w:val="00502744"/>
    <w:rsid w:val="00503043"/>
    <w:rsid w:val="0050401A"/>
    <w:rsid w:val="00505363"/>
    <w:rsid w:val="00505A9C"/>
    <w:rsid w:val="00506759"/>
    <w:rsid w:val="00510C89"/>
    <w:rsid w:val="0051124E"/>
    <w:rsid w:val="005146BF"/>
    <w:rsid w:val="00517C03"/>
    <w:rsid w:val="00520B9F"/>
    <w:rsid w:val="005231F3"/>
    <w:rsid w:val="005241F2"/>
    <w:rsid w:val="005242EF"/>
    <w:rsid w:val="005273BB"/>
    <w:rsid w:val="00530BBE"/>
    <w:rsid w:val="00530DF4"/>
    <w:rsid w:val="00531C7D"/>
    <w:rsid w:val="005326EE"/>
    <w:rsid w:val="0053270A"/>
    <w:rsid w:val="00532B3A"/>
    <w:rsid w:val="005340A0"/>
    <w:rsid w:val="00534C41"/>
    <w:rsid w:val="00541096"/>
    <w:rsid w:val="00541200"/>
    <w:rsid w:val="005428FC"/>
    <w:rsid w:val="0054370C"/>
    <w:rsid w:val="00544A95"/>
    <w:rsid w:val="00544D06"/>
    <w:rsid w:val="00545CC3"/>
    <w:rsid w:val="00550677"/>
    <w:rsid w:val="005517F9"/>
    <w:rsid w:val="005527D2"/>
    <w:rsid w:val="005579E3"/>
    <w:rsid w:val="0056232A"/>
    <w:rsid w:val="00563334"/>
    <w:rsid w:val="005634EE"/>
    <w:rsid w:val="005647F4"/>
    <w:rsid w:val="00565A76"/>
    <w:rsid w:val="00566FA0"/>
    <w:rsid w:val="00570602"/>
    <w:rsid w:val="005707C0"/>
    <w:rsid w:val="00571DCD"/>
    <w:rsid w:val="00572460"/>
    <w:rsid w:val="00572E1D"/>
    <w:rsid w:val="00575820"/>
    <w:rsid w:val="00576A12"/>
    <w:rsid w:val="00577CB2"/>
    <w:rsid w:val="00580C25"/>
    <w:rsid w:val="0058157E"/>
    <w:rsid w:val="00581847"/>
    <w:rsid w:val="0058283A"/>
    <w:rsid w:val="00582BB1"/>
    <w:rsid w:val="005831DC"/>
    <w:rsid w:val="00583BC3"/>
    <w:rsid w:val="00583D6C"/>
    <w:rsid w:val="00583D89"/>
    <w:rsid w:val="00586133"/>
    <w:rsid w:val="00586232"/>
    <w:rsid w:val="00586E2B"/>
    <w:rsid w:val="00587AA8"/>
    <w:rsid w:val="00587BC6"/>
    <w:rsid w:val="00590D27"/>
    <w:rsid w:val="005919D7"/>
    <w:rsid w:val="005930A2"/>
    <w:rsid w:val="0059451A"/>
    <w:rsid w:val="005962A5"/>
    <w:rsid w:val="00596803"/>
    <w:rsid w:val="00596DBB"/>
    <w:rsid w:val="00597281"/>
    <w:rsid w:val="0059735E"/>
    <w:rsid w:val="00597BB5"/>
    <w:rsid w:val="005A1E0A"/>
    <w:rsid w:val="005A2B8A"/>
    <w:rsid w:val="005A3DFE"/>
    <w:rsid w:val="005A7EAE"/>
    <w:rsid w:val="005B0B1A"/>
    <w:rsid w:val="005B0F9A"/>
    <w:rsid w:val="005B1780"/>
    <w:rsid w:val="005B5097"/>
    <w:rsid w:val="005B612E"/>
    <w:rsid w:val="005C15FA"/>
    <w:rsid w:val="005C169C"/>
    <w:rsid w:val="005C1767"/>
    <w:rsid w:val="005C37C4"/>
    <w:rsid w:val="005C3886"/>
    <w:rsid w:val="005C62B7"/>
    <w:rsid w:val="005D00B7"/>
    <w:rsid w:val="005D401E"/>
    <w:rsid w:val="005D4127"/>
    <w:rsid w:val="005D5EB6"/>
    <w:rsid w:val="005E25D2"/>
    <w:rsid w:val="005E3068"/>
    <w:rsid w:val="005E3CD2"/>
    <w:rsid w:val="005E4294"/>
    <w:rsid w:val="005E43A6"/>
    <w:rsid w:val="005E4AD8"/>
    <w:rsid w:val="005E6509"/>
    <w:rsid w:val="005E6AF9"/>
    <w:rsid w:val="005E6FFC"/>
    <w:rsid w:val="005E7298"/>
    <w:rsid w:val="005E7B28"/>
    <w:rsid w:val="005F1219"/>
    <w:rsid w:val="005F136A"/>
    <w:rsid w:val="005F17BB"/>
    <w:rsid w:val="005F25A2"/>
    <w:rsid w:val="005F6793"/>
    <w:rsid w:val="005F768C"/>
    <w:rsid w:val="005F79AE"/>
    <w:rsid w:val="005F7E68"/>
    <w:rsid w:val="0060020E"/>
    <w:rsid w:val="00600EA8"/>
    <w:rsid w:val="00600F72"/>
    <w:rsid w:val="00601DDC"/>
    <w:rsid w:val="006028DD"/>
    <w:rsid w:val="006034CD"/>
    <w:rsid w:val="00603C96"/>
    <w:rsid w:val="00604487"/>
    <w:rsid w:val="006057C2"/>
    <w:rsid w:val="0060638E"/>
    <w:rsid w:val="00607373"/>
    <w:rsid w:val="00607E50"/>
    <w:rsid w:val="00610CA0"/>
    <w:rsid w:val="006112DC"/>
    <w:rsid w:val="00611CC2"/>
    <w:rsid w:val="00612E24"/>
    <w:rsid w:val="00613315"/>
    <w:rsid w:val="006143AF"/>
    <w:rsid w:val="006154BD"/>
    <w:rsid w:val="00615BB4"/>
    <w:rsid w:val="00620E63"/>
    <w:rsid w:val="0062161A"/>
    <w:rsid w:val="006217CF"/>
    <w:rsid w:val="00622FC5"/>
    <w:rsid w:val="0062399A"/>
    <w:rsid w:val="00623BE6"/>
    <w:rsid w:val="00623E43"/>
    <w:rsid w:val="006248AE"/>
    <w:rsid w:val="00626779"/>
    <w:rsid w:val="006271FF"/>
    <w:rsid w:val="00631BEC"/>
    <w:rsid w:val="00631C81"/>
    <w:rsid w:val="006322C5"/>
    <w:rsid w:val="006328A9"/>
    <w:rsid w:val="00632975"/>
    <w:rsid w:val="00632D61"/>
    <w:rsid w:val="00636C49"/>
    <w:rsid w:val="00636F3E"/>
    <w:rsid w:val="00637A95"/>
    <w:rsid w:val="00640B59"/>
    <w:rsid w:val="00640BC1"/>
    <w:rsid w:val="00645F35"/>
    <w:rsid w:val="006472E8"/>
    <w:rsid w:val="00651746"/>
    <w:rsid w:val="00651B1B"/>
    <w:rsid w:val="00652C8D"/>
    <w:rsid w:val="00653992"/>
    <w:rsid w:val="006543AB"/>
    <w:rsid w:val="0065499B"/>
    <w:rsid w:val="00654F25"/>
    <w:rsid w:val="0065588F"/>
    <w:rsid w:val="00655B09"/>
    <w:rsid w:val="00655EA1"/>
    <w:rsid w:val="00657EA7"/>
    <w:rsid w:val="00660A80"/>
    <w:rsid w:val="006612C3"/>
    <w:rsid w:val="00661C4C"/>
    <w:rsid w:val="00662507"/>
    <w:rsid w:val="0066312A"/>
    <w:rsid w:val="0066329C"/>
    <w:rsid w:val="006638F4"/>
    <w:rsid w:val="00664EC0"/>
    <w:rsid w:val="006651B7"/>
    <w:rsid w:val="00665332"/>
    <w:rsid w:val="00665DEC"/>
    <w:rsid w:val="00666A99"/>
    <w:rsid w:val="00666AA3"/>
    <w:rsid w:val="006672C0"/>
    <w:rsid w:val="0067017A"/>
    <w:rsid w:val="0067080F"/>
    <w:rsid w:val="00672FE2"/>
    <w:rsid w:val="00674D16"/>
    <w:rsid w:val="00675F37"/>
    <w:rsid w:val="006775F7"/>
    <w:rsid w:val="006777E3"/>
    <w:rsid w:val="00682A96"/>
    <w:rsid w:val="006832EB"/>
    <w:rsid w:val="00687027"/>
    <w:rsid w:val="00691209"/>
    <w:rsid w:val="00691F20"/>
    <w:rsid w:val="0069271B"/>
    <w:rsid w:val="00692BF2"/>
    <w:rsid w:val="0069323D"/>
    <w:rsid w:val="00693502"/>
    <w:rsid w:val="00693716"/>
    <w:rsid w:val="00693D35"/>
    <w:rsid w:val="00694410"/>
    <w:rsid w:val="00695894"/>
    <w:rsid w:val="006967C5"/>
    <w:rsid w:val="00697013"/>
    <w:rsid w:val="006974E2"/>
    <w:rsid w:val="00697C2A"/>
    <w:rsid w:val="006A0DFD"/>
    <w:rsid w:val="006A314C"/>
    <w:rsid w:val="006A4CF8"/>
    <w:rsid w:val="006A575E"/>
    <w:rsid w:val="006A5AFE"/>
    <w:rsid w:val="006B0D16"/>
    <w:rsid w:val="006B2302"/>
    <w:rsid w:val="006B28CC"/>
    <w:rsid w:val="006B2C9A"/>
    <w:rsid w:val="006B31C7"/>
    <w:rsid w:val="006B4583"/>
    <w:rsid w:val="006B54FB"/>
    <w:rsid w:val="006B5E31"/>
    <w:rsid w:val="006B7218"/>
    <w:rsid w:val="006B76B0"/>
    <w:rsid w:val="006C13F4"/>
    <w:rsid w:val="006C1D8F"/>
    <w:rsid w:val="006C2E3B"/>
    <w:rsid w:val="006C62C6"/>
    <w:rsid w:val="006C6567"/>
    <w:rsid w:val="006D0C64"/>
    <w:rsid w:val="006D1557"/>
    <w:rsid w:val="006D3519"/>
    <w:rsid w:val="006D3956"/>
    <w:rsid w:val="006E006A"/>
    <w:rsid w:val="006E1EE1"/>
    <w:rsid w:val="006E350A"/>
    <w:rsid w:val="006E3802"/>
    <w:rsid w:val="006E3CE6"/>
    <w:rsid w:val="006E41AD"/>
    <w:rsid w:val="006E585E"/>
    <w:rsid w:val="006E6A52"/>
    <w:rsid w:val="006E6A91"/>
    <w:rsid w:val="006E72BB"/>
    <w:rsid w:val="006E79C8"/>
    <w:rsid w:val="006E7EB3"/>
    <w:rsid w:val="006F02F7"/>
    <w:rsid w:val="006F209A"/>
    <w:rsid w:val="006F33EF"/>
    <w:rsid w:val="006F5FD0"/>
    <w:rsid w:val="006F7CC1"/>
    <w:rsid w:val="007002B7"/>
    <w:rsid w:val="0070076C"/>
    <w:rsid w:val="00704DC9"/>
    <w:rsid w:val="00705019"/>
    <w:rsid w:val="00706DCE"/>
    <w:rsid w:val="00707E5F"/>
    <w:rsid w:val="007106ED"/>
    <w:rsid w:val="007109CA"/>
    <w:rsid w:val="00711D5F"/>
    <w:rsid w:val="00711EF6"/>
    <w:rsid w:val="00712509"/>
    <w:rsid w:val="00713662"/>
    <w:rsid w:val="00714C12"/>
    <w:rsid w:val="00715538"/>
    <w:rsid w:val="0071561B"/>
    <w:rsid w:val="00716939"/>
    <w:rsid w:val="00717AF5"/>
    <w:rsid w:val="0072101E"/>
    <w:rsid w:val="0072141F"/>
    <w:rsid w:val="00721AAA"/>
    <w:rsid w:val="0072395B"/>
    <w:rsid w:val="00724618"/>
    <w:rsid w:val="00732EC3"/>
    <w:rsid w:val="0073327C"/>
    <w:rsid w:val="00733BC1"/>
    <w:rsid w:val="007350B4"/>
    <w:rsid w:val="00735BB7"/>
    <w:rsid w:val="00735E9E"/>
    <w:rsid w:val="0073653F"/>
    <w:rsid w:val="00736648"/>
    <w:rsid w:val="00736FE5"/>
    <w:rsid w:val="00737843"/>
    <w:rsid w:val="007421DF"/>
    <w:rsid w:val="00742BB8"/>
    <w:rsid w:val="00743517"/>
    <w:rsid w:val="007436AE"/>
    <w:rsid w:val="00745247"/>
    <w:rsid w:val="00745BC7"/>
    <w:rsid w:val="0074651B"/>
    <w:rsid w:val="00746ACA"/>
    <w:rsid w:val="0075084C"/>
    <w:rsid w:val="0075152F"/>
    <w:rsid w:val="00751B9A"/>
    <w:rsid w:val="00751E67"/>
    <w:rsid w:val="007520D1"/>
    <w:rsid w:val="0075210E"/>
    <w:rsid w:val="00752AE8"/>
    <w:rsid w:val="00752CBD"/>
    <w:rsid w:val="00754192"/>
    <w:rsid w:val="00754788"/>
    <w:rsid w:val="00755114"/>
    <w:rsid w:val="007560BD"/>
    <w:rsid w:val="00756CB2"/>
    <w:rsid w:val="00757BBF"/>
    <w:rsid w:val="007605CE"/>
    <w:rsid w:val="00762771"/>
    <w:rsid w:val="00762DB4"/>
    <w:rsid w:val="00765758"/>
    <w:rsid w:val="0076718B"/>
    <w:rsid w:val="00767BF5"/>
    <w:rsid w:val="0077052B"/>
    <w:rsid w:val="00770F4A"/>
    <w:rsid w:val="0077111E"/>
    <w:rsid w:val="00771CB0"/>
    <w:rsid w:val="007746DA"/>
    <w:rsid w:val="00774C2C"/>
    <w:rsid w:val="007765F0"/>
    <w:rsid w:val="007766D1"/>
    <w:rsid w:val="0078124A"/>
    <w:rsid w:val="007816A2"/>
    <w:rsid w:val="00781970"/>
    <w:rsid w:val="00783DBD"/>
    <w:rsid w:val="0078419B"/>
    <w:rsid w:val="007860B0"/>
    <w:rsid w:val="00790897"/>
    <w:rsid w:val="007917DF"/>
    <w:rsid w:val="00792781"/>
    <w:rsid w:val="00793753"/>
    <w:rsid w:val="0079404E"/>
    <w:rsid w:val="007A0380"/>
    <w:rsid w:val="007A2C0C"/>
    <w:rsid w:val="007A3D6E"/>
    <w:rsid w:val="007A3E8D"/>
    <w:rsid w:val="007A6560"/>
    <w:rsid w:val="007A6986"/>
    <w:rsid w:val="007A6CC6"/>
    <w:rsid w:val="007B1299"/>
    <w:rsid w:val="007B2D15"/>
    <w:rsid w:val="007B4A7B"/>
    <w:rsid w:val="007B58CD"/>
    <w:rsid w:val="007B6894"/>
    <w:rsid w:val="007B79D5"/>
    <w:rsid w:val="007B7AC2"/>
    <w:rsid w:val="007C0B98"/>
    <w:rsid w:val="007C25E6"/>
    <w:rsid w:val="007C2620"/>
    <w:rsid w:val="007C28E3"/>
    <w:rsid w:val="007C34A0"/>
    <w:rsid w:val="007C412B"/>
    <w:rsid w:val="007C5E06"/>
    <w:rsid w:val="007C6735"/>
    <w:rsid w:val="007D0821"/>
    <w:rsid w:val="007D0ED5"/>
    <w:rsid w:val="007D7A74"/>
    <w:rsid w:val="007E0C77"/>
    <w:rsid w:val="007E6179"/>
    <w:rsid w:val="007E6FB8"/>
    <w:rsid w:val="007E7838"/>
    <w:rsid w:val="007F0427"/>
    <w:rsid w:val="007F052E"/>
    <w:rsid w:val="007F15D2"/>
    <w:rsid w:val="007F23D3"/>
    <w:rsid w:val="007F414C"/>
    <w:rsid w:val="007F4DFF"/>
    <w:rsid w:val="007F6D17"/>
    <w:rsid w:val="007F719A"/>
    <w:rsid w:val="00800FAF"/>
    <w:rsid w:val="00801643"/>
    <w:rsid w:val="00811AB5"/>
    <w:rsid w:val="00811F9E"/>
    <w:rsid w:val="00812D72"/>
    <w:rsid w:val="008130F6"/>
    <w:rsid w:val="0081366C"/>
    <w:rsid w:val="00813E78"/>
    <w:rsid w:val="0081617C"/>
    <w:rsid w:val="00816DDC"/>
    <w:rsid w:val="00817442"/>
    <w:rsid w:val="008213BA"/>
    <w:rsid w:val="00826329"/>
    <w:rsid w:val="00827038"/>
    <w:rsid w:val="008271D6"/>
    <w:rsid w:val="008272BF"/>
    <w:rsid w:val="00830B6B"/>
    <w:rsid w:val="00830FF2"/>
    <w:rsid w:val="00831BDD"/>
    <w:rsid w:val="00831C35"/>
    <w:rsid w:val="00831EC1"/>
    <w:rsid w:val="00834D21"/>
    <w:rsid w:val="00835213"/>
    <w:rsid w:val="008375E0"/>
    <w:rsid w:val="008404F6"/>
    <w:rsid w:val="0084090A"/>
    <w:rsid w:val="008428FC"/>
    <w:rsid w:val="00850180"/>
    <w:rsid w:val="00850597"/>
    <w:rsid w:val="008531C6"/>
    <w:rsid w:val="00855B8F"/>
    <w:rsid w:val="00855D0B"/>
    <w:rsid w:val="00857A7D"/>
    <w:rsid w:val="00857F09"/>
    <w:rsid w:val="00861103"/>
    <w:rsid w:val="00862FF0"/>
    <w:rsid w:val="00863DF2"/>
    <w:rsid w:val="0086463A"/>
    <w:rsid w:val="0086534A"/>
    <w:rsid w:val="00866C80"/>
    <w:rsid w:val="00866E64"/>
    <w:rsid w:val="008701A1"/>
    <w:rsid w:val="00870AF6"/>
    <w:rsid w:val="00873096"/>
    <w:rsid w:val="0087337E"/>
    <w:rsid w:val="00874EB8"/>
    <w:rsid w:val="008754D3"/>
    <w:rsid w:val="00880BC0"/>
    <w:rsid w:val="00881BCD"/>
    <w:rsid w:val="008829DB"/>
    <w:rsid w:val="0088794E"/>
    <w:rsid w:val="00887FF2"/>
    <w:rsid w:val="00892F83"/>
    <w:rsid w:val="008940FD"/>
    <w:rsid w:val="00895F09"/>
    <w:rsid w:val="008A0DD2"/>
    <w:rsid w:val="008A1569"/>
    <w:rsid w:val="008A19F6"/>
    <w:rsid w:val="008A1EFA"/>
    <w:rsid w:val="008A4120"/>
    <w:rsid w:val="008A5574"/>
    <w:rsid w:val="008A5B7D"/>
    <w:rsid w:val="008A7640"/>
    <w:rsid w:val="008B18DC"/>
    <w:rsid w:val="008B2B0B"/>
    <w:rsid w:val="008B36FC"/>
    <w:rsid w:val="008B4547"/>
    <w:rsid w:val="008B4D40"/>
    <w:rsid w:val="008B4F85"/>
    <w:rsid w:val="008B64D7"/>
    <w:rsid w:val="008B6574"/>
    <w:rsid w:val="008B6994"/>
    <w:rsid w:val="008B7063"/>
    <w:rsid w:val="008B7C3C"/>
    <w:rsid w:val="008C0026"/>
    <w:rsid w:val="008C1A10"/>
    <w:rsid w:val="008C3395"/>
    <w:rsid w:val="008C3F87"/>
    <w:rsid w:val="008C6086"/>
    <w:rsid w:val="008C63DE"/>
    <w:rsid w:val="008C646C"/>
    <w:rsid w:val="008D0417"/>
    <w:rsid w:val="008D2766"/>
    <w:rsid w:val="008D45AF"/>
    <w:rsid w:val="008D5DBC"/>
    <w:rsid w:val="008D6DAD"/>
    <w:rsid w:val="008E0384"/>
    <w:rsid w:val="008E0EF4"/>
    <w:rsid w:val="008E27E3"/>
    <w:rsid w:val="008E2CCE"/>
    <w:rsid w:val="008E3D09"/>
    <w:rsid w:val="008E599D"/>
    <w:rsid w:val="008E5AC5"/>
    <w:rsid w:val="008E5CE5"/>
    <w:rsid w:val="008E6654"/>
    <w:rsid w:val="008E68EF"/>
    <w:rsid w:val="008E7668"/>
    <w:rsid w:val="008E7B0B"/>
    <w:rsid w:val="008F0873"/>
    <w:rsid w:val="008F1F72"/>
    <w:rsid w:val="008F3F1B"/>
    <w:rsid w:val="008F546A"/>
    <w:rsid w:val="008F7F51"/>
    <w:rsid w:val="008F7FF0"/>
    <w:rsid w:val="00900621"/>
    <w:rsid w:val="0090144D"/>
    <w:rsid w:val="00901797"/>
    <w:rsid w:val="00903147"/>
    <w:rsid w:val="009049EA"/>
    <w:rsid w:val="00907FA6"/>
    <w:rsid w:val="009103D8"/>
    <w:rsid w:val="00911E43"/>
    <w:rsid w:val="00912F5C"/>
    <w:rsid w:val="00913B7C"/>
    <w:rsid w:val="00913D36"/>
    <w:rsid w:val="00914008"/>
    <w:rsid w:val="009172D0"/>
    <w:rsid w:val="009216DB"/>
    <w:rsid w:val="00921A0F"/>
    <w:rsid w:val="0092335E"/>
    <w:rsid w:val="009239E9"/>
    <w:rsid w:val="009240E4"/>
    <w:rsid w:val="00924F42"/>
    <w:rsid w:val="009250A0"/>
    <w:rsid w:val="009257D1"/>
    <w:rsid w:val="009264C9"/>
    <w:rsid w:val="00926849"/>
    <w:rsid w:val="00926A96"/>
    <w:rsid w:val="00927268"/>
    <w:rsid w:val="00927986"/>
    <w:rsid w:val="00927BCD"/>
    <w:rsid w:val="0093056E"/>
    <w:rsid w:val="00932B34"/>
    <w:rsid w:val="00934254"/>
    <w:rsid w:val="00934843"/>
    <w:rsid w:val="00936F6B"/>
    <w:rsid w:val="009405DC"/>
    <w:rsid w:val="00941570"/>
    <w:rsid w:val="0094263A"/>
    <w:rsid w:val="00943835"/>
    <w:rsid w:val="00944E53"/>
    <w:rsid w:val="009455DE"/>
    <w:rsid w:val="00946B18"/>
    <w:rsid w:val="00946C02"/>
    <w:rsid w:val="00946F97"/>
    <w:rsid w:val="00947452"/>
    <w:rsid w:val="00947CB3"/>
    <w:rsid w:val="00950848"/>
    <w:rsid w:val="009508DC"/>
    <w:rsid w:val="00950EED"/>
    <w:rsid w:val="009533A7"/>
    <w:rsid w:val="009535CF"/>
    <w:rsid w:val="00953BEF"/>
    <w:rsid w:val="0095409F"/>
    <w:rsid w:val="00955A91"/>
    <w:rsid w:val="009566BF"/>
    <w:rsid w:val="009569D7"/>
    <w:rsid w:val="00957791"/>
    <w:rsid w:val="0096095F"/>
    <w:rsid w:val="00961E86"/>
    <w:rsid w:val="009627F9"/>
    <w:rsid w:val="00962D2B"/>
    <w:rsid w:val="009634D9"/>
    <w:rsid w:val="009634DD"/>
    <w:rsid w:val="00964072"/>
    <w:rsid w:val="00967C5E"/>
    <w:rsid w:val="00967CF6"/>
    <w:rsid w:val="00967DB3"/>
    <w:rsid w:val="00970B79"/>
    <w:rsid w:val="0097318A"/>
    <w:rsid w:val="00973FA5"/>
    <w:rsid w:val="00974539"/>
    <w:rsid w:val="00975165"/>
    <w:rsid w:val="00975EA0"/>
    <w:rsid w:val="00980F8E"/>
    <w:rsid w:val="00982FB5"/>
    <w:rsid w:val="009837E3"/>
    <w:rsid w:val="00986301"/>
    <w:rsid w:val="00986FBD"/>
    <w:rsid w:val="00986FC8"/>
    <w:rsid w:val="009872C9"/>
    <w:rsid w:val="00990F45"/>
    <w:rsid w:val="009912DF"/>
    <w:rsid w:val="009919CA"/>
    <w:rsid w:val="009950A0"/>
    <w:rsid w:val="009955FB"/>
    <w:rsid w:val="0099598C"/>
    <w:rsid w:val="00996D57"/>
    <w:rsid w:val="009A0F18"/>
    <w:rsid w:val="009A372E"/>
    <w:rsid w:val="009A37E1"/>
    <w:rsid w:val="009A44A3"/>
    <w:rsid w:val="009A47DE"/>
    <w:rsid w:val="009A5D44"/>
    <w:rsid w:val="009A5E84"/>
    <w:rsid w:val="009A6F85"/>
    <w:rsid w:val="009A7F0C"/>
    <w:rsid w:val="009B17E6"/>
    <w:rsid w:val="009B5336"/>
    <w:rsid w:val="009B6A57"/>
    <w:rsid w:val="009B750E"/>
    <w:rsid w:val="009B7591"/>
    <w:rsid w:val="009C0DC2"/>
    <w:rsid w:val="009C4437"/>
    <w:rsid w:val="009C4CDB"/>
    <w:rsid w:val="009C5C8A"/>
    <w:rsid w:val="009C7A81"/>
    <w:rsid w:val="009D037B"/>
    <w:rsid w:val="009D12A3"/>
    <w:rsid w:val="009D153D"/>
    <w:rsid w:val="009D1CCE"/>
    <w:rsid w:val="009D2479"/>
    <w:rsid w:val="009D3580"/>
    <w:rsid w:val="009D3A32"/>
    <w:rsid w:val="009D41D9"/>
    <w:rsid w:val="009D75C1"/>
    <w:rsid w:val="009E20A4"/>
    <w:rsid w:val="009E21C3"/>
    <w:rsid w:val="009E3741"/>
    <w:rsid w:val="009E40B6"/>
    <w:rsid w:val="009E4773"/>
    <w:rsid w:val="009E7011"/>
    <w:rsid w:val="009E738E"/>
    <w:rsid w:val="009E7706"/>
    <w:rsid w:val="009F0E56"/>
    <w:rsid w:val="009F150B"/>
    <w:rsid w:val="009F2A84"/>
    <w:rsid w:val="009F3018"/>
    <w:rsid w:val="009F4231"/>
    <w:rsid w:val="009F4C8C"/>
    <w:rsid w:val="009F5E6A"/>
    <w:rsid w:val="009F67C0"/>
    <w:rsid w:val="00A0221B"/>
    <w:rsid w:val="00A030FC"/>
    <w:rsid w:val="00A043BA"/>
    <w:rsid w:val="00A0443F"/>
    <w:rsid w:val="00A04D75"/>
    <w:rsid w:val="00A07404"/>
    <w:rsid w:val="00A1081E"/>
    <w:rsid w:val="00A10B77"/>
    <w:rsid w:val="00A10DA2"/>
    <w:rsid w:val="00A114BF"/>
    <w:rsid w:val="00A12393"/>
    <w:rsid w:val="00A13305"/>
    <w:rsid w:val="00A136EE"/>
    <w:rsid w:val="00A1597C"/>
    <w:rsid w:val="00A20D8F"/>
    <w:rsid w:val="00A20EAF"/>
    <w:rsid w:val="00A21431"/>
    <w:rsid w:val="00A215B5"/>
    <w:rsid w:val="00A23163"/>
    <w:rsid w:val="00A232D9"/>
    <w:rsid w:val="00A2480C"/>
    <w:rsid w:val="00A25BF2"/>
    <w:rsid w:val="00A26530"/>
    <w:rsid w:val="00A3042F"/>
    <w:rsid w:val="00A309DF"/>
    <w:rsid w:val="00A331C2"/>
    <w:rsid w:val="00A350C0"/>
    <w:rsid w:val="00A35331"/>
    <w:rsid w:val="00A36C54"/>
    <w:rsid w:val="00A3733F"/>
    <w:rsid w:val="00A4430E"/>
    <w:rsid w:val="00A4461E"/>
    <w:rsid w:val="00A44A6B"/>
    <w:rsid w:val="00A4567B"/>
    <w:rsid w:val="00A46379"/>
    <w:rsid w:val="00A467B0"/>
    <w:rsid w:val="00A50780"/>
    <w:rsid w:val="00A507C4"/>
    <w:rsid w:val="00A51C0A"/>
    <w:rsid w:val="00A53F25"/>
    <w:rsid w:val="00A54EEA"/>
    <w:rsid w:val="00A5535B"/>
    <w:rsid w:val="00A56BD2"/>
    <w:rsid w:val="00A609B8"/>
    <w:rsid w:val="00A6144B"/>
    <w:rsid w:val="00A644F2"/>
    <w:rsid w:val="00A64AC5"/>
    <w:rsid w:val="00A66667"/>
    <w:rsid w:val="00A70C21"/>
    <w:rsid w:val="00A718FF"/>
    <w:rsid w:val="00A71A63"/>
    <w:rsid w:val="00A71BC5"/>
    <w:rsid w:val="00A726BB"/>
    <w:rsid w:val="00A739F3"/>
    <w:rsid w:val="00A7484F"/>
    <w:rsid w:val="00A76746"/>
    <w:rsid w:val="00A77248"/>
    <w:rsid w:val="00A8111B"/>
    <w:rsid w:val="00A81202"/>
    <w:rsid w:val="00A82157"/>
    <w:rsid w:val="00A83184"/>
    <w:rsid w:val="00A83C49"/>
    <w:rsid w:val="00A83C9C"/>
    <w:rsid w:val="00A84356"/>
    <w:rsid w:val="00A8499E"/>
    <w:rsid w:val="00A85B20"/>
    <w:rsid w:val="00A85FF6"/>
    <w:rsid w:val="00A87A0F"/>
    <w:rsid w:val="00A90B94"/>
    <w:rsid w:val="00A934A5"/>
    <w:rsid w:val="00A9410A"/>
    <w:rsid w:val="00A941F2"/>
    <w:rsid w:val="00A949F7"/>
    <w:rsid w:val="00A95D44"/>
    <w:rsid w:val="00AA05B6"/>
    <w:rsid w:val="00AA1B68"/>
    <w:rsid w:val="00AA32D3"/>
    <w:rsid w:val="00AA4DE9"/>
    <w:rsid w:val="00AA6C14"/>
    <w:rsid w:val="00AA7C69"/>
    <w:rsid w:val="00AB113B"/>
    <w:rsid w:val="00AB13E7"/>
    <w:rsid w:val="00AB254D"/>
    <w:rsid w:val="00AB26CA"/>
    <w:rsid w:val="00AB288E"/>
    <w:rsid w:val="00AB2C4A"/>
    <w:rsid w:val="00AB3310"/>
    <w:rsid w:val="00AB3D70"/>
    <w:rsid w:val="00AB58BD"/>
    <w:rsid w:val="00AB7354"/>
    <w:rsid w:val="00AC0075"/>
    <w:rsid w:val="00AC169A"/>
    <w:rsid w:val="00AC2E33"/>
    <w:rsid w:val="00AC43C8"/>
    <w:rsid w:val="00AC5D63"/>
    <w:rsid w:val="00AC6C28"/>
    <w:rsid w:val="00AC7454"/>
    <w:rsid w:val="00AD1529"/>
    <w:rsid w:val="00AD1B1E"/>
    <w:rsid w:val="00AD2B90"/>
    <w:rsid w:val="00AD42F2"/>
    <w:rsid w:val="00AD470C"/>
    <w:rsid w:val="00AD4D12"/>
    <w:rsid w:val="00AD7AD1"/>
    <w:rsid w:val="00AE077C"/>
    <w:rsid w:val="00AE166E"/>
    <w:rsid w:val="00AE1CFA"/>
    <w:rsid w:val="00AE34F5"/>
    <w:rsid w:val="00AE4B1C"/>
    <w:rsid w:val="00AE5F4A"/>
    <w:rsid w:val="00AE6C7B"/>
    <w:rsid w:val="00AE7807"/>
    <w:rsid w:val="00AF14C4"/>
    <w:rsid w:val="00AF62A1"/>
    <w:rsid w:val="00AF7F2D"/>
    <w:rsid w:val="00B01514"/>
    <w:rsid w:val="00B01EA9"/>
    <w:rsid w:val="00B03FF7"/>
    <w:rsid w:val="00B0607F"/>
    <w:rsid w:val="00B06F6B"/>
    <w:rsid w:val="00B07AC1"/>
    <w:rsid w:val="00B07C56"/>
    <w:rsid w:val="00B10471"/>
    <w:rsid w:val="00B10C27"/>
    <w:rsid w:val="00B1169A"/>
    <w:rsid w:val="00B11FE0"/>
    <w:rsid w:val="00B149C9"/>
    <w:rsid w:val="00B16998"/>
    <w:rsid w:val="00B16C06"/>
    <w:rsid w:val="00B20138"/>
    <w:rsid w:val="00B21D71"/>
    <w:rsid w:val="00B245CC"/>
    <w:rsid w:val="00B25282"/>
    <w:rsid w:val="00B25438"/>
    <w:rsid w:val="00B25B2D"/>
    <w:rsid w:val="00B26B6E"/>
    <w:rsid w:val="00B272C1"/>
    <w:rsid w:val="00B302BE"/>
    <w:rsid w:val="00B30AE2"/>
    <w:rsid w:val="00B31040"/>
    <w:rsid w:val="00B313D3"/>
    <w:rsid w:val="00B32B20"/>
    <w:rsid w:val="00B33B6F"/>
    <w:rsid w:val="00B33E8F"/>
    <w:rsid w:val="00B3513F"/>
    <w:rsid w:val="00B35A02"/>
    <w:rsid w:val="00B35A34"/>
    <w:rsid w:val="00B35ED1"/>
    <w:rsid w:val="00B43177"/>
    <w:rsid w:val="00B43775"/>
    <w:rsid w:val="00B43D64"/>
    <w:rsid w:val="00B44443"/>
    <w:rsid w:val="00B44CC3"/>
    <w:rsid w:val="00B45807"/>
    <w:rsid w:val="00B47C13"/>
    <w:rsid w:val="00B5039B"/>
    <w:rsid w:val="00B50644"/>
    <w:rsid w:val="00B511A8"/>
    <w:rsid w:val="00B51CDB"/>
    <w:rsid w:val="00B52CCA"/>
    <w:rsid w:val="00B54FEC"/>
    <w:rsid w:val="00B56915"/>
    <w:rsid w:val="00B575A6"/>
    <w:rsid w:val="00B57998"/>
    <w:rsid w:val="00B6127E"/>
    <w:rsid w:val="00B61A3B"/>
    <w:rsid w:val="00B62D5F"/>
    <w:rsid w:val="00B67B5B"/>
    <w:rsid w:val="00B715CE"/>
    <w:rsid w:val="00B71B37"/>
    <w:rsid w:val="00B72259"/>
    <w:rsid w:val="00B724B2"/>
    <w:rsid w:val="00B73F29"/>
    <w:rsid w:val="00B800C1"/>
    <w:rsid w:val="00B80103"/>
    <w:rsid w:val="00B8040E"/>
    <w:rsid w:val="00B81DA7"/>
    <w:rsid w:val="00B8330F"/>
    <w:rsid w:val="00B834C8"/>
    <w:rsid w:val="00B84130"/>
    <w:rsid w:val="00B8436A"/>
    <w:rsid w:val="00B84A4D"/>
    <w:rsid w:val="00B85BE2"/>
    <w:rsid w:val="00B85EB0"/>
    <w:rsid w:val="00B86045"/>
    <w:rsid w:val="00B8728B"/>
    <w:rsid w:val="00B876A5"/>
    <w:rsid w:val="00B90758"/>
    <w:rsid w:val="00B917C0"/>
    <w:rsid w:val="00B9198B"/>
    <w:rsid w:val="00B919CD"/>
    <w:rsid w:val="00B91A6A"/>
    <w:rsid w:val="00B9205F"/>
    <w:rsid w:val="00B94420"/>
    <w:rsid w:val="00B968CF"/>
    <w:rsid w:val="00B9709C"/>
    <w:rsid w:val="00B97C3A"/>
    <w:rsid w:val="00BA0DC4"/>
    <w:rsid w:val="00BA3F50"/>
    <w:rsid w:val="00BA40C2"/>
    <w:rsid w:val="00BA41EB"/>
    <w:rsid w:val="00BA45DF"/>
    <w:rsid w:val="00BA4E36"/>
    <w:rsid w:val="00BA5039"/>
    <w:rsid w:val="00BA5065"/>
    <w:rsid w:val="00BA5799"/>
    <w:rsid w:val="00BA5AED"/>
    <w:rsid w:val="00BA605F"/>
    <w:rsid w:val="00BA6DFC"/>
    <w:rsid w:val="00BA7BAD"/>
    <w:rsid w:val="00BA7D60"/>
    <w:rsid w:val="00BB132A"/>
    <w:rsid w:val="00BB318E"/>
    <w:rsid w:val="00BB31D5"/>
    <w:rsid w:val="00BB3A9A"/>
    <w:rsid w:val="00BB3F45"/>
    <w:rsid w:val="00BB4EE4"/>
    <w:rsid w:val="00BB545D"/>
    <w:rsid w:val="00BB5614"/>
    <w:rsid w:val="00BB7A97"/>
    <w:rsid w:val="00BC45AF"/>
    <w:rsid w:val="00BC5304"/>
    <w:rsid w:val="00BC5EE1"/>
    <w:rsid w:val="00BC609B"/>
    <w:rsid w:val="00BC6441"/>
    <w:rsid w:val="00BD1836"/>
    <w:rsid w:val="00BD2565"/>
    <w:rsid w:val="00BD28E8"/>
    <w:rsid w:val="00BD2CE3"/>
    <w:rsid w:val="00BD323F"/>
    <w:rsid w:val="00BD3625"/>
    <w:rsid w:val="00BD45B8"/>
    <w:rsid w:val="00BD4876"/>
    <w:rsid w:val="00BD4C79"/>
    <w:rsid w:val="00BD4EE1"/>
    <w:rsid w:val="00BD697A"/>
    <w:rsid w:val="00BD6F47"/>
    <w:rsid w:val="00BD7A7A"/>
    <w:rsid w:val="00BD7BE9"/>
    <w:rsid w:val="00BD7D81"/>
    <w:rsid w:val="00BE1D66"/>
    <w:rsid w:val="00BE2DC8"/>
    <w:rsid w:val="00BE36B2"/>
    <w:rsid w:val="00BE3AE2"/>
    <w:rsid w:val="00BE3C9A"/>
    <w:rsid w:val="00BE5189"/>
    <w:rsid w:val="00BE724C"/>
    <w:rsid w:val="00BF00F1"/>
    <w:rsid w:val="00BF0CFC"/>
    <w:rsid w:val="00BF2473"/>
    <w:rsid w:val="00BF28AA"/>
    <w:rsid w:val="00BF2D65"/>
    <w:rsid w:val="00BF2F1B"/>
    <w:rsid w:val="00BF4068"/>
    <w:rsid w:val="00BF4710"/>
    <w:rsid w:val="00BF4ACD"/>
    <w:rsid w:val="00BF4C75"/>
    <w:rsid w:val="00BF59D1"/>
    <w:rsid w:val="00BF6805"/>
    <w:rsid w:val="00BF74AF"/>
    <w:rsid w:val="00BF796F"/>
    <w:rsid w:val="00C007AE"/>
    <w:rsid w:val="00C00A07"/>
    <w:rsid w:val="00C01D82"/>
    <w:rsid w:val="00C02582"/>
    <w:rsid w:val="00C035C3"/>
    <w:rsid w:val="00C037D8"/>
    <w:rsid w:val="00C043C8"/>
    <w:rsid w:val="00C04A8B"/>
    <w:rsid w:val="00C060CE"/>
    <w:rsid w:val="00C06304"/>
    <w:rsid w:val="00C069DA"/>
    <w:rsid w:val="00C10C8A"/>
    <w:rsid w:val="00C10EE5"/>
    <w:rsid w:val="00C1179C"/>
    <w:rsid w:val="00C12541"/>
    <w:rsid w:val="00C12905"/>
    <w:rsid w:val="00C17D33"/>
    <w:rsid w:val="00C209D1"/>
    <w:rsid w:val="00C20F3C"/>
    <w:rsid w:val="00C2147B"/>
    <w:rsid w:val="00C228B9"/>
    <w:rsid w:val="00C236B4"/>
    <w:rsid w:val="00C23FF2"/>
    <w:rsid w:val="00C24136"/>
    <w:rsid w:val="00C26CD6"/>
    <w:rsid w:val="00C273F6"/>
    <w:rsid w:val="00C30195"/>
    <w:rsid w:val="00C31829"/>
    <w:rsid w:val="00C32B5B"/>
    <w:rsid w:val="00C333D2"/>
    <w:rsid w:val="00C3546B"/>
    <w:rsid w:val="00C42DC1"/>
    <w:rsid w:val="00C440F6"/>
    <w:rsid w:val="00C469C4"/>
    <w:rsid w:val="00C46C96"/>
    <w:rsid w:val="00C503B5"/>
    <w:rsid w:val="00C51CA8"/>
    <w:rsid w:val="00C52306"/>
    <w:rsid w:val="00C5305C"/>
    <w:rsid w:val="00C538D2"/>
    <w:rsid w:val="00C566AD"/>
    <w:rsid w:val="00C57B6A"/>
    <w:rsid w:val="00C61BDF"/>
    <w:rsid w:val="00C645DA"/>
    <w:rsid w:val="00C64CC6"/>
    <w:rsid w:val="00C6728F"/>
    <w:rsid w:val="00C70AD3"/>
    <w:rsid w:val="00C70E69"/>
    <w:rsid w:val="00C7251F"/>
    <w:rsid w:val="00C7400B"/>
    <w:rsid w:val="00C74E1F"/>
    <w:rsid w:val="00C759E4"/>
    <w:rsid w:val="00C77203"/>
    <w:rsid w:val="00C81609"/>
    <w:rsid w:val="00C818C2"/>
    <w:rsid w:val="00C820BD"/>
    <w:rsid w:val="00C82385"/>
    <w:rsid w:val="00C82FB7"/>
    <w:rsid w:val="00C83598"/>
    <w:rsid w:val="00C84DD1"/>
    <w:rsid w:val="00C90464"/>
    <w:rsid w:val="00CA103A"/>
    <w:rsid w:val="00CA20E7"/>
    <w:rsid w:val="00CA308D"/>
    <w:rsid w:val="00CA340D"/>
    <w:rsid w:val="00CA4799"/>
    <w:rsid w:val="00CA5082"/>
    <w:rsid w:val="00CA5133"/>
    <w:rsid w:val="00CA631E"/>
    <w:rsid w:val="00CA69AA"/>
    <w:rsid w:val="00CA6A58"/>
    <w:rsid w:val="00CA7D6B"/>
    <w:rsid w:val="00CB0A80"/>
    <w:rsid w:val="00CB0B40"/>
    <w:rsid w:val="00CB1779"/>
    <w:rsid w:val="00CB430E"/>
    <w:rsid w:val="00CB4D48"/>
    <w:rsid w:val="00CB69FE"/>
    <w:rsid w:val="00CB7C5B"/>
    <w:rsid w:val="00CB7F15"/>
    <w:rsid w:val="00CC075F"/>
    <w:rsid w:val="00CC204D"/>
    <w:rsid w:val="00CC24E9"/>
    <w:rsid w:val="00CC275B"/>
    <w:rsid w:val="00CC38FA"/>
    <w:rsid w:val="00CC390F"/>
    <w:rsid w:val="00CC3AA4"/>
    <w:rsid w:val="00CC6825"/>
    <w:rsid w:val="00CD0D88"/>
    <w:rsid w:val="00CD0E96"/>
    <w:rsid w:val="00CD244C"/>
    <w:rsid w:val="00CD265B"/>
    <w:rsid w:val="00CD429F"/>
    <w:rsid w:val="00CD50DD"/>
    <w:rsid w:val="00CD6548"/>
    <w:rsid w:val="00CD70E8"/>
    <w:rsid w:val="00CD742E"/>
    <w:rsid w:val="00CD7825"/>
    <w:rsid w:val="00CE0658"/>
    <w:rsid w:val="00CE11B1"/>
    <w:rsid w:val="00CE2C59"/>
    <w:rsid w:val="00CE2E54"/>
    <w:rsid w:val="00CE5674"/>
    <w:rsid w:val="00CE5B18"/>
    <w:rsid w:val="00CE6F96"/>
    <w:rsid w:val="00CE783D"/>
    <w:rsid w:val="00CE7D4A"/>
    <w:rsid w:val="00CF04FA"/>
    <w:rsid w:val="00CF05B1"/>
    <w:rsid w:val="00CF0D78"/>
    <w:rsid w:val="00CF3614"/>
    <w:rsid w:val="00CF4218"/>
    <w:rsid w:val="00CF60C4"/>
    <w:rsid w:val="00CF7FB3"/>
    <w:rsid w:val="00D01156"/>
    <w:rsid w:val="00D0254C"/>
    <w:rsid w:val="00D038C1"/>
    <w:rsid w:val="00D043C5"/>
    <w:rsid w:val="00D056E9"/>
    <w:rsid w:val="00D07C0E"/>
    <w:rsid w:val="00D137E0"/>
    <w:rsid w:val="00D139A3"/>
    <w:rsid w:val="00D14AB5"/>
    <w:rsid w:val="00D14E07"/>
    <w:rsid w:val="00D163E7"/>
    <w:rsid w:val="00D176D3"/>
    <w:rsid w:val="00D20B6B"/>
    <w:rsid w:val="00D212A1"/>
    <w:rsid w:val="00D2182E"/>
    <w:rsid w:val="00D221C4"/>
    <w:rsid w:val="00D244EC"/>
    <w:rsid w:val="00D24516"/>
    <w:rsid w:val="00D25055"/>
    <w:rsid w:val="00D252BC"/>
    <w:rsid w:val="00D25B2F"/>
    <w:rsid w:val="00D2715E"/>
    <w:rsid w:val="00D27543"/>
    <w:rsid w:val="00D333C4"/>
    <w:rsid w:val="00D33B7B"/>
    <w:rsid w:val="00D36385"/>
    <w:rsid w:val="00D364EA"/>
    <w:rsid w:val="00D37065"/>
    <w:rsid w:val="00D41523"/>
    <w:rsid w:val="00D43254"/>
    <w:rsid w:val="00D43578"/>
    <w:rsid w:val="00D4370C"/>
    <w:rsid w:val="00D46E78"/>
    <w:rsid w:val="00D479CB"/>
    <w:rsid w:val="00D515EC"/>
    <w:rsid w:val="00D53410"/>
    <w:rsid w:val="00D544C9"/>
    <w:rsid w:val="00D5461F"/>
    <w:rsid w:val="00D558C2"/>
    <w:rsid w:val="00D56576"/>
    <w:rsid w:val="00D56C7D"/>
    <w:rsid w:val="00D57E99"/>
    <w:rsid w:val="00D60B04"/>
    <w:rsid w:val="00D60DA2"/>
    <w:rsid w:val="00D61218"/>
    <w:rsid w:val="00D61365"/>
    <w:rsid w:val="00D631E2"/>
    <w:rsid w:val="00D64582"/>
    <w:rsid w:val="00D65008"/>
    <w:rsid w:val="00D654B8"/>
    <w:rsid w:val="00D65E15"/>
    <w:rsid w:val="00D661B9"/>
    <w:rsid w:val="00D705AC"/>
    <w:rsid w:val="00D726BC"/>
    <w:rsid w:val="00D72E60"/>
    <w:rsid w:val="00D73275"/>
    <w:rsid w:val="00D73C96"/>
    <w:rsid w:val="00D74EB5"/>
    <w:rsid w:val="00D77039"/>
    <w:rsid w:val="00D831E1"/>
    <w:rsid w:val="00D85A94"/>
    <w:rsid w:val="00D85EDA"/>
    <w:rsid w:val="00D86651"/>
    <w:rsid w:val="00D86BDF"/>
    <w:rsid w:val="00D8709D"/>
    <w:rsid w:val="00D9283A"/>
    <w:rsid w:val="00D93FC9"/>
    <w:rsid w:val="00D94CCE"/>
    <w:rsid w:val="00DA00B6"/>
    <w:rsid w:val="00DA22A3"/>
    <w:rsid w:val="00DA2AF9"/>
    <w:rsid w:val="00DA37D0"/>
    <w:rsid w:val="00DA388A"/>
    <w:rsid w:val="00DA3CDA"/>
    <w:rsid w:val="00DA4312"/>
    <w:rsid w:val="00DA459A"/>
    <w:rsid w:val="00DA5DCD"/>
    <w:rsid w:val="00DA69E5"/>
    <w:rsid w:val="00DA6D82"/>
    <w:rsid w:val="00DB1604"/>
    <w:rsid w:val="00DB612D"/>
    <w:rsid w:val="00DB6547"/>
    <w:rsid w:val="00DB79CF"/>
    <w:rsid w:val="00DC0188"/>
    <w:rsid w:val="00DC0621"/>
    <w:rsid w:val="00DC31A9"/>
    <w:rsid w:val="00DC39D7"/>
    <w:rsid w:val="00DC41F6"/>
    <w:rsid w:val="00DC5A52"/>
    <w:rsid w:val="00DC6E39"/>
    <w:rsid w:val="00DC7395"/>
    <w:rsid w:val="00DC7A5F"/>
    <w:rsid w:val="00DD2EAE"/>
    <w:rsid w:val="00DD3201"/>
    <w:rsid w:val="00DD4DC8"/>
    <w:rsid w:val="00DD5926"/>
    <w:rsid w:val="00DD79E0"/>
    <w:rsid w:val="00DE1DA6"/>
    <w:rsid w:val="00DE321E"/>
    <w:rsid w:val="00DE33F6"/>
    <w:rsid w:val="00DE444C"/>
    <w:rsid w:val="00DE4F24"/>
    <w:rsid w:val="00DE4F8E"/>
    <w:rsid w:val="00DE5F15"/>
    <w:rsid w:val="00DE738E"/>
    <w:rsid w:val="00DE767F"/>
    <w:rsid w:val="00DE7B4A"/>
    <w:rsid w:val="00DF00A2"/>
    <w:rsid w:val="00DF01B7"/>
    <w:rsid w:val="00DF048F"/>
    <w:rsid w:val="00DF0525"/>
    <w:rsid w:val="00DF1E9B"/>
    <w:rsid w:val="00DF4264"/>
    <w:rsid w:val="00DF45A3"/>
    <w:rsid w:val="00DF74AA"/>
    <w:rsid w:val="00E00ABD"/>
    <w:rsid w:val="00E02579"/>
    <w:rsid w:val="00E02680"/>
    <w:rsid w:val="00E03EC2"/>
    <w:rsid w:val="00E04682"/>
    <w:rsid w:val="00E057E7"/>
    <w:rsid w:val="00E0585E"/>
    <w:rsid w:val="00E05B61"/>
    <w:rsid w:val="00E07B50"/>
    <w:rsid w:val="00E1086C"/>
    <w:rsid w:val="00E10B6E"/>
    <w:rsid w:val="00E111DF"/>
    <w:rsid w:val="00E11D88"/>
    <w:rsid w:val="00E1320E"/>
    <w:rsid w:val="00E15FA8"/>
    <w:rsid w:val="00E17CE1"/>
    <w:rsid w:val="00E2068E"/>
    <w:rsid w:val="00E20A9C"/>
    <w:rsid w:val="00E264B3"/>
    <w:rsid w:val="00E26577"/>
    <w:rsid w:val="00E300B3"/>
    <w:rsid w:val="00E30A9F"/>
    <w:rsid w:val="00E3167B"/>
    <w:rsid w:val="00E31721"/>
    <w:rsid w:val="00E34DA5"/>
    <w:rsid w:val="00E3500E"/>
    <w:rsid w:val="00E35FE1"/>
    <w:rsid w:val="00E36587"/>
    <w:rsid w:val="00E36C29"/>
    <w:rsid w:val="00E40B9B"/>
    <w:rsid w:val="00E41B27"/>
    <w:rsid w:val="00E428C9"/>
    <w:rsid w:val="00E43BAC"/>
    <w:rsid w:val="00E43CE4"/>
    <w:rsid w:val="00E4424B"/>
    <w:rsid w:val="00E45807"/>
    <w:rsid w:val="00E460CA"/>
    <w:rsid w:val="00E46EF2"/>
    <w:rsid w:val="00E511D0"/>
    <w:rsid w:val="00E528E6"/>
    <w:rsid w:val="00E52A8B"/>
    <w:rsid w:val="00E53F17"/>
    <w:rsid w:val="00E55207"/>
    <w:rsid w:val="00E56328"/>
    <w:rsid w:val="00E56B4C"/>
    <w:rsid w:val="00E61510"/>
    <w:rsid w:val="00E621AB"/>
    <w:rsid w:val="00E62CB1"/>
    <w:rsid w:val="00E63416"/>
    <w:rsid w:val="00E63D8E"/>
    <w:rsid w:val="00E64145"/>
    <w:rsid w:val="00E64B26"/>
    <w:rsid w:val="00E652CF"/>
    <w:rsid w:val="00E65841"/>
    <w:rsid w:val="00E666B6"/>
    <w:rsid w:val="00E71D9F"/>
    <w:rsid w:val="00E7278D"/>
    <w:rsid w:val="00E734D2"/>
    <w:rsid w:val="00E75691"/>
    <w:rsid w:val="00E80CDC"/>
    <w:rsid w:val="00E8380B"/>
    <w:rsid w:val="00E83F85"/>
    <w:rsid w:val="00E84B67"/>
    <w:rsid w:val="00E84BCC"/>
    <w:rsid w:val="00E84F2F"/>
    <w:rsid w:val="00E8508C"/>
    <w:rsid w:val="00E85E62"/>
    <w:rsid w:val="00E86435"/>
    <w:rsid w:val="00E86DE3"/>
    <w:rsid w:val="00E87BB0"/>
    <w:rsid w:val="00E903C5"/>
    <w:rsid w:val="00E9046D"/>
    <w:rsid w:val="00E92A7F"/>
    <w:rsid w:val="00E96B42"/>
    <w:rsid w:val="00E97398"/>
    <w:rsid w:val="00EA130D"/>
    <w:rsid w:val="00EA1ECC"/>
    <w:rsid w:val="00EA2264"/>
    <w:rsid w:val="00EA23A1"/>
    <w:rsid w:val="00EA2F00"/>
    <w:rsid w:val="00EA4189"/>
    <w:rsid w:val="00EA53A3"/>
    <w:rsid w:val="00EA6F2E"/>
    <w:rsid w:val="00EB217F"/>
    <w:rsid w:val="00EB2F22"/>
    <w:rsid w:val="00EB3356"/>
    <w:rsid w:val="00EB3E17"/>
    <w:rsid w:val="00EB71D0"/>
    <w:rsid w:val="00EB796D"/>
    <w:rsid w:val="00EC023F"/>
    <w:rsid w:val="00EC0650"/>
    <w:rsid w:val="00EC0804"/>
    <w:rsid w:val="00EC0974"/>
    <w:rsid w:val="00EC1205"/>
    <w:rsid w:val="00EC1299"/>
    <w:rsid w:val="00EC5595"/>
    <w:rsid w:val="00EC62AE"/>
    <w:rsid w:val="00EC64AE"/>
    <w:rsid w:val="00EC660C"/>
    <w:rsid w:val="00ED04F9"/>
    <w:rsid w:val="00ED0AD1"/>
    <w:rsid w:val="00ED0CAF"/>
    <w:rsid w:val="00ED1651"/>
    <w:rsid w:val="00ED4740"/>
    <w:rsid w:val="00ED61D3"/>
    <w:rsid w:val="00ED6AEA"/>
    <w:rsid w:val="00ED7961"/>
    <w:rsid w:val="00ED7B9F"/>
    <w:rsid w:val="00EE002D"/>
    <w:rsid w:val="00EE0953"/>
    <w:rsid w:val="00EE3BD9"/>
    <w:rsid w:val="00EE4547"/>
    <w:rsid w:val="00EE6248"/>
    <w:rsid w:val="00EE67BC"/>
    <w:rsid w:val="00EE6D37"/>
    <w:rsid w:val="00EE7BFF"/>
    <w:rsid w:val="00EF00C5"/>
    <w:rsid w:val="00EF1382"/>
    <w:rsid w:val="00EF16DB"/>
    <w:rsid w:val="00EF1F99"/>
    <w:rsid w:val="00EF2102"/>
    <w:rsid w:val="00EF5572"/>
    <w:rsid w:val="00EF5ABA"/>
    <w:rsid w:val="00EF6C72"/>
    <w:rsid w:val="00EF72E9"/>
    <w:rsid w:val="00EF7804"/>
    <w:rsid w:val="00F0001E"/>
    <w:rsid w:val="00F01043"/>
    <w:rsid w:val="00F04AA1"/>
    <w:rsid w:val="00F05570"/>
    <w:rsid w:val="00F05B16"/>
    <w:rsid w:val="00F06CB4"/>
    <w:rsid w:val="00F06F10"/>
    <w:rsid w:val="00F07AE1"/>
    <w:rsid w:val="00F10487"/>
    <w:rsid w:val="00F11DC2"/>
    <w:rsid w:val="00F12FAF"/>
    <w:rsid w:val="00F1399D"/>
    <w:rsid w:val="00F13C85"/>
    <w:rsid w:val="00F140E5"/>
    <w:rsid w:val="00F151BC"/>
    <w:rsid w:val="00F15B22"/>
    <w:rsid w:val="00F15ED7"/>
    <w:rsid w:val="00F15F87"/>
    <w:rsid w:val="00F15FC2"/>
    <w:rsid w:val="00F162DE"/>
    <w:rsid w:val="00F169D6"/>
    <w:rsid w:val="00F17149"/>
    <w:rsid w:val="00F177CB"/>
    <w:rsid w:val="00F23721"/>
    <w:rsid w:val="00F24455"/>
    <w:rsid w:val="00F251BE"/>
    <w:rsid w:val="00F2535E"/>
    <w:rsid w:val="00F26E2A"/>
    <w:rsid w:val="00F27E30"/>
    <w:rsid w:val="00F303B8"/>
    <w:rsid w:val="00F305B5"/>
    <w:rsid w:val="00F30FB0"/>
    <w:rsid w:val="00F3203B"/>
    <w:rsid w:val="00F35D86"/>
    <w:rsid w:val="00F36135"/>
    <w:rsid w:val="00F37019"/>
    <w:rsid w:val="00F3720D"/>
    <w:rsid w:val="00F37973"/>
    <w:rsid w:val="00F402BB"/>
    <w:rsid w:val="00F406F4"/>
    <w:rsid w:val="00F41816"/>
    <w:rsid w:val="00F439D5"/>
    <w:rsid w:val="00F44B8D"/>
    <w:rsid w:val="00F450A5"/>
    <w:rsid w:val="00F45900"/>
    <w:rsid w:val="00F4598B"/>
    <w:rsid w:val="00F479C2"/>
    <w:rsid w:val="00F5150D"/>
    <w:rsid w:val="00F528E3"/>
    <w:rsid w:val="00F53800"/>
    <w:rsid w:val="00F53B41"/>
    <w:rsid w:val="00F55A8F"/>
    <w:rsid w:val="00F5681E"/>
    <w:rsid w:val="00F60B77"/>
    <w:rsid w:val="00F614BB"/>
    <w:rsid w:val="00F65829"/>
    <w:rsid w:val="00F65B5E"/>
    <w:rsid w:val="00F66946"/>
    <w:rsid w:val="00F66BBB"/>
    <w:rsid w:val="00F675D9"/>
    <w:rsid w:val="00F71363"/>
    <w:rsid w:val="00F72602"/>
    <w:rsid w:val="00F72F96"/>
    <w:rsid w:val="00F73DBC"/>
    <w:rsid w:val="00F743E1"/>
    <w:rsid w:val="00F7554B"/>
    <w:rsid w:val="00F800A5"/>
    <w:rsid w:val="00F80A1C"/>
    <w:rsid w:val="00F82DA0"/>
    <w:rsid w:val="00F847C1"/>
    <w:rsid w:val="00F85E47"/>
    <w:rsid w:val="00F8635E"/>
    <w:rsid w:val="00F86711"/>
    <w:rsid w:val="00F8759F"/>
    <w:rsid w:val="00F87A3B"/>
    <w:rsid w:val="00F90B44"/>
    <w:rsid w:val="00F91A42"/>
    <w:rsid w:val="00F91A81"/>
    <w:rsid w:val="00F93B75"/>
    <w:rsid w:val="00F94658"/>
    <w:rsid w:val="00F94DD4"/>
    <w:rsid w:val="00F9554F"/>
    <w:rsid w:val="00F97976"/>
    <w:rsid w:val="00F97CC4"/>
    <w:rsid w:val="00FA05FF"/>
    <w:rsid w:val="00FA084A"/>
    <w:rsid w:val="00FA0A5E"/>
    <w:rsid w:val="00FA4F09"/>
    <w:rsid w:val="00FA6AAA"/>
    <w:rsid w:val="00FA7C58"/>
    <w:rsid w:val="00FB108E"/>
    <w:rsid w:val="00FB1EEE"/>
    <w:rsid w:val="00FB2FA8"/>
    <w:rsid w:val="00FB3DD7"/>
    <w:rsid w:val="00FB411D"/>
    <w:rsid w:val="00FB70B7"/>
    <w:rsid w:val="00FB7EFD"/>
    <w:rsid w:val="00FC2944"/>
    <w:rsid w:val="00FC33CF"/>
    <w:rsid w:val="00FC52D6"/>
    <w:rsid w:val="00FC640B"/>
    <w:rsid w:val="00FC7873"/>
    <w:rsid w:val="00FC7D1E"/>
    <w:rsid w:val="00FD0E5C"/>
    <w:rsid w:val="00FD1F1C"/>
    <w:rsid w:val="00FD20A5"/>
    <w:rsid w:val="00FD24AC"/>
    <w:rsid w:val="00FD35D3"/>
    <w:rsid w:val="00FD4533"/>
    <w:rsid w:val="00FD458B"/>
    <w:rsid w:val="00FD72C3"/>
    <w:rsid w:val="00FD7609"/>
    <w:rsid w:val="00FE022C"/>
    <w:rsid w:val="00FE025F"/>
    <w:rsid w:val="00FE0475"/>
    <w:rsid w:val="00FE112B"/>
    <w:rsid w:val="00FE1F83"/>
    <w:rsid w:val="00FE236B"/>
    <w:rsid w:val="00FE2A99"/>
    <w:rsid w:val="00FE2ABF"/>
    <w:rsid w:val="00FE3226"/>
    <w:rsid w:val="00FE3470"/>
    <w:rsid w:val="00FE3AA7"/>
    <w:rsid w:val="00FE4F8C"/>
    <w:rsid w:val="00FE4FBF"/>
    <w:rsid w:val="00FE63BD"/>
    <w:rsid w:val="00FE6D3A"/>
    <w:rsid w:val="00FF4104"/>
    <w:rsid w:val="00FF4413"/>
    <w:rsid w:val="00FF4B5B"/>
    <w:rsid w:val="00FF5269"/>
    <w:rsid w:val="00FF558A"/>
    <w:rsid w:val="00FF57D4"/>
    <w:rsid w:val="00FF6366"/>
    <w:rsid w:val="00FF6B7F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69E80"/>
  <w15:docId w15:val="{4EA5F394-1655-46F5-BF7B-DD74651B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1E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0E60"/>
    <w:pPr>
      <w:keepNext/>
      <w:pBdr>
        <w:bottom w:val="single" w:sz="4" w:space="1" w:color="auto"/>
      </w:pBdr>
      <w:shd w:val="clear" w:color="auto" w:fill="000000"/>
      <w:ind w:left="432"/>
      <w:jc w:val="both"/>
      <w:outlineLvl w:val="0"/>
    </w:pPr>
    <w:rPr>
      <w:rFonts w:asciiTheme="minorHAnsi" w:hAnsiTheme="minorHAnsi" w:cstheme="minorHAnsi"/>
      <w:b/>
      <w:bCs/>
      <w:sz w:val="22"/>
      <w:szCs w:val="22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CC204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C20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CC20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CC204D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CC204D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CC204D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CC204D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C204D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70E60"/>
    <w:rPr>
      <w:rFonts w:asciiTheme="minorHAnsi" w:hAnsiTheme="minorHAnsi" w:cstheme="minorHAnsi"/>
      <w:b/>
      <w:bCs/>
      <w:sz w:val="22"/>
      <w:szCs w:val="22"/>
      <w:shd w:val="clear" w:color="auto" w:fill="000000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CC204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CC204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9"/>
    <w:rsid w:val="00CC204D"/>
    <w:rPr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CC204D"/>
    <w:rPr>
      <w:rFonts w:ascii="Rockwell" w:hAnsi="Rockwell"/>
      <w:color w:val="365338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9"/>
    <w:rsid w:val="00CC204D"/>
    <w:rPr>
      <w:rFonts w:ascii="Rockwell" w:hAnsi="Rockwell"/>
      <w:i/>
      <w:iCs/>
      <w:color w:val="365338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uiPriority w:val="99"/>
    <w:rsid w:val="00CC204D"/>
    <w:rPr>
      <w:rFonts w:ascii="Rockwell" w:hAnsi="Rockwell"/>
      <w:i/>
      <w:iCs/>
      <w:color w:val="404040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rsid w:val="00CC204D"/>
    <w:rPr>
      <w:rFonts w:ascii="Rockwell" w:hAnsi="Rockwell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99"/>
    <w:rsid w:val="00CC204D"/>
    <w:rPr>
      <w:rFonts w:ascii="Rockwell" w:hAnsi="Rockwell"/>
      <w:i/>
      <w:iCs/>
      <w:color w:val="404040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CC20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204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CC204D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04D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CC204D"/>
    <w:rPr>
      <w:rFonts w:cs="Times New Roman"/>
    </w:rPr>
  </w:style>
  <w:style w:type="paragraph" w:styleId="En-tte">
    <w:name w:val="header"/>
    <w:basedOn w:val="Normal"/>
    <w:link w:val="En-tt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04D"/>
    <w:rPr>
      <w:sz w:val="24"/>
      <w:szCs w:val="24"/>
    </w:rPr>
  </w:style>
  <w:style w:type="table" w:styleId="Grilledutableau">
    <w:name w:val="Table Grid"/>
    <w:basedOn w:val="TableauNormal"/>
    <w:uiPriority w:val="3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CC2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C204D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CC204D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CC204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CC204D"/>
    <w:pPr>
      <w:keepLines/>
      <w:spacing w:before="480" w:line="276" w:lineRule="auto"/>
      <w:ind w:left="0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uiPriority w:val="39"/>
    <w:rsid w:val="00CC204D"/>
    <w:pPr>
      <w:tabs>
        <w:tab w:val="left" w:pos="709"/>
        <w:tab w:val="right" w:leader="dot" w:pos="9062"/>
      </w:tabs>
      <w:spacing w:after="120"/>
    </w:pPr>
    <w:rPr>
      <w:noProof/>
      <w:lang w:bidi="he-IL"/>
    </w:rPr>
  </w:style>
  <w:style w:type="paragraph" w:styleId="NormalWeb">
    <w:name w:val="Normal (Web)"/>
    <w:basedOn w:val="Normal"/>
    <w:uiPriority w:val="99"/>
    <w:rsid w:val="00CC204D"/>
    <w:pPr>
      <w:spacing w:before="100" w:beforeAutospacing="1" w:after="100" w:afterAutospacing="1"/>
    </w:pPr>
    <w:rPr>
      <w:lang w:eastAsia="fr-BE"/>
    </w:rPr>
  </w:style>
  <w:style w:type="character" w:styleId="Marquedecommentaire">
    <w:name w:val="annotation reference"/>
    <w:basedOn w:val="Policepardfaut"/>
    <w:uiPriority w:val="99"/>
    <w:rsid w:val="00CC20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C20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204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C20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C204D"/>
    <w:rPr>
      <w:b/>
      <w:bCs/>
      <w:lang w:val="en-US" w:eastAsia="en-US"/>
    </w:rPr>
  </w:style>
  <w:style w:type="paragraph" w:styleId="Sansinterligne">
    <w:name w:val="No Spacing"/>
    <w:link w:val="SansinterligneCar"/>
    <w:uiPriority w:val="1"/>
    <w:qFormat/>
    <w:rsid w:val="00CC204D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C204D"/>
    <w:rPr>
      <w:rFonts w:ascii="Calibri" w:hAnsi="Calibri"/>
      <w:sz w:val="22"/>
      <w:szCs w:val="22"/>
      <w:lang w:val="fr-FR" w:eastAsia="en-US"/>
    </w:rPr>
  </w:style>
  <w:style w:type="character" w:styleId="Accentuation">
    <w:name w:val="Emphasis"/>
    <w:basedOn w:val="Policepardfaut"/>
    <w:qFormat/>
    <w:rsid w:val="00CC20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0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SimSun"/>
      <w:b/>
      <w:bCs/>
      <w:i/>
      <w:iCs/>
      <w:color w:val="4F81BD"/>
      <w:sz w:val="22"/>
      <w:szCs w:val="22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04D"/>
    <w:rPr>
      <w:rFonts w:ascii="Calibri" w:eastAsia="Calibri" w:hAnsi="Calibri" w:cs="SimSun"/>
      <w:b/>
      <w:bCs/>
      <w:i/>
      <w:iCs/>
      <w:color w:val="4F81BD"/>
      <w:sz w:val="22"/>
      <w:szCs w:val="22"/>
      <w:lang w:val="fr-FR" w:eastAsia="en-US"/>
    </w:rPr>
  </w:style>
  <w:style w:type="table" w:customStyle="1" w:styleId="Grilledetableauclaire1">
    <w:name w:val="Grille de tableau claire1"/>
    <w:basedOn w:val="TableauNormal"/>
    <w:uiPriority w:val="40"/>
    <w:rsid w:val="00CC204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C204D"/>
    <w:rPr>
      <w:rFonts w:ascii="Calibri" w:eastAsia="Calibri" w:hAnsi="Calibri" w:cs="SimSun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2">
    <w:name w:val="Grille de tableau claire2"/>
    <w:basedOn w:val="TableauNormal"/>
    <w:uiPriority w:val="40"/>
    <w:rsid w:val="00141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3C41C4"/>
    <w:rPr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3F703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C645DA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D41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21DD"/>
    <w:rPr>
      <w:color w:val="800080" w:themeColor="followedHyperlink"/>
      <w:u w:val="single"/>
    </w:rPr>
  </w:style>
  <w:style w:type="character" w:styleId="Accentuationlgre">
    <w:name w:val="Subtle Emphasis"/>
    <w:basedOn w:val="Policepardfaut"/>
    <w:uiPriority w:val="19"/>
    <w:qFormat/>
    <w:rsid w:val="006C2E3B"/>
    <w:rPr>
      <w:i/>
      <w:iCs/>
      <w:color w:val="808080" w:themeColor="text1" w:themeTint="7F"/>
    </w:rPr>
  </w:style>
  <w:style w:type="paragraph" w:styleId="Corpsdetexte">
    <w:name w:val="Body Text"/>
    <w:basedOn w:val="Normal"/>
    <w:link w:val="CorpsdetexteCar"/>
    <w:uiPriority w:val="99"/>
    <w:unhideWhenUsed/>
    <w:rsid w:val="00E71D9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71D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4CDE-589A-4861-9677-167CAF8D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Broll Santelli OTCHIKA</dc:creator>
  <cp:lastModifiedBy>Hélène Blanchard</cp:lastModifiedBy>
  <cp:revision>3</cp:revision>
  <cp:lastPrinted>2012-11-06T06:41:00Z</cp:lastPrinted>
  <dcterms:created xsi:type="dcterms:W3CDTF">2024-05-07T09:33:00Z</dcterms:created>
  <dcterms:modified xsi:type="dcterms:W3CDTF">2024-05-07T09:35:00Z</dcterms:modified>
</cp:coreProperties>
</file>