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43FC" w14:textId="77777777" w:rsidR="00CC204D" w:rsidRPr="00B0607F" w:rsidRDefault="00D11554" w:rsidP="00B0607F">
      <w:pPr>
        <w:jc w:val="both"/>
        <w:rPr>
          <w:rStyle w:val="Accentuation"/>
          <w:i w:val="0"/>
        </w:rPr>
      </w:pPr>
      <w:r>
        <w:rPr>
          <w:iCs/>
          <w:noProof/>
          <w:lang w:val="fr-FR" w:eastAsia="fr-FR"/>
        </w:rPr>
        <w:pict w14:anchorId="158BBD43">
          <v:rect id="1026" o:spid="_x0000_s1026" style="position:absolute;left:0;text-align:left;margin-left:-1.5pt;margin-top:-74.9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"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07F4B637" w14:textId="77777777">
                    <w:trPr>
                      <w:trHeight w:val="1385"/>
                    </w:trPr>
                    <w:tc>
                      <w:tcPr>
                        <w:tcW w:w="1134" w:type="dxa"/>
                        <w:hideMark/>
                      </w:tcPr>
                      <w:p w14:paraId="3F4EAB3D" w14:textId="77777777" w:rsidR="00F24455" w:rsidRDefault="00F24455">
                        <w:pPr>
                          <w:ind w:left="-26"/>
                          <w:rPr>
                            <w:color w:val="525252"/>
                            <w:sz w:val="18"/>
                          </w:rPr>
                        </w:pPr>
                        <w:r>
                          <w:rPr>
                            <w:noProof/>
                            <w:color w:val="525252"/>
                            <w:sz w:val="18"/>
                            <w:lang w:val="fr-FR" w:eastAsia="fr-FR"/>
                          </w:rPr>
                          <w:drawing>
                            <wp:inline distT="0" distB="0" distL="0" distR="0" wp14:anchorId="7FD5F4A2" wp14:editId="4E16F34C">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480C09E4" w14:textId="77777777" w:rsidR="00F24455" w:rsidRDefault="00F24455">
                        <w:pPr>
                          <w:ind w:left="34"/>
                          <w:rPr>
                            <w:color w:val="525252"/>
                            <w:sz w:val="16"/>
                            <w:lang w:val="fr-FR"/>
                          </w:rPr>
                        </w:pPr>
                        <w:r>
                          <w:rPr>
                            <w:color w:val="525252"/>
                            <w:sz w:val="16"/>
                            <w:lang w:val="fr-FR"/>
                          </w:rPr>
                          <w:t>REPUBLIQUE GABONAISE</w:t>
                        </w:r>
                      </w:p>
                      <w:p w14:paraId="10E45BA7" w14:textId="77777777" w:rsidR="00F24455" w:rsidRDefault="00F24455">
                        <w:pPr>
                          <w:ind w:left="34"/>
                          <w:rPr>
                            <w:color w:val="525252"/>
                            <w:sz w:val="16"/>
                            <w:lang w:val="fr-FR"/>
                          </w:rPr>
                        </w:pPr>
                        <w:r>
                          <w:rPr>
                            <w:color w:val="525252"/>
                            <w:sz w:val="16"/>
                            <w:lang w:val="fr-FR"/>
                          </w:rPr>
                          <w:t>Ministère des Eaux et Forêts</w:t>
                        </w:r>
                      </w:p>
                      <w:p w14:paraId="239CD7C2" w14:textId="77777777" w:rsidR="00F24455" w:rsidRDefault="00F24455">
                        <w:pPr>
                          <w:ind w:left="34"/>
                          <w:rPr>
                            <w:noProof/>
                            <w:color w:val="525252"/>
                            <w:sz w:val="18"/>
                          </w:rPr>
                        </w:pPr>
                        <w:r>
                          <w:rPr>
                            <w:color w:val="525252"/>
                            <w:sz w:val="16"/>
                            <w:lang w:val="fr-FR"/>
                          </w:rPr>
                          <w:t>Secrétariat Général</w:t>
                        </w:r>
                      </w:p>
                    </w:tc>
                    <w:tc>
                      <w:tcPr>
                        <w:tcW w:w="1276" w:type="dxa"/>
                      </w:tcPr>
                      <w:p w14:paraId="530DE8E5" w14:textId="77777777" w:rsidR="00F24455" w:rsidRDefault="00F24455">
                        <w:pPr>
                          <w:rPr>
                            <w:color w:val="525252"/>
                            <w:sz w:val="18"/>
                            <w:lang w:val="fr-FR"/>
                          </w:rPr>
                        </w:pPr>
                        <w:r>
                          <w:rPr>
                            <w:noProof/>
                            <w:color w:val="525252"/>
                            <w:sz w:val="18"/>
                            <w:lang w:val="fr-FR" w:eastAsia="fr-FR"/>
                          </w:rPr>
                          <w:drawing>
                            <wp:inline distT="0" distB="0" distL="0" distR="0" wp14:anchorId="61807B9B" wp14:editId="1912D0B6">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57AC749A" w14:textId="77777777" w:rsidR="00F24455" w:rsidRDefault="00F24455">
                        <w:pPr>
                          <w:ind w:left="34"/>
                          <w:rPr>
                            <w:color w:val="525252"/>
                            <w:sz w:val="16"/>
                            <w:lang w:val="fr-FR"/>
                          </w:rPr>
                        </w:pPr>
                        <w:r>
                          <w:rPr>
                            <w:color w:val="525252"/>
                            <w:sz w:val="16"/>
                            <w:lang w:val="fr-FR"/>
                          </w:rPr>
                          <w:t xml:space="preserve">CONSERVATION JUSTICE </w:t>
                        </w:r>
                      </w:p>
                      <w:p w14:paraId="0E0228DE" w14:textId="77777777" w:rsidR="00F24455" w:rsidRDefault="00F24455">
                        <w:pPr>
                          <w:ind w:left="34"/>
                          <w:rPr>
                            <w:color w:val="525252"/>
                            <w:sz w:val="16"/>
                            <w:lang w:val="fr-FR"/>
                          </w:rPr>
                        </w:pPr>
                        <w:r>
                          <w:rPr>
                            <w:color w:val="525252"/>
                            <w:sz w:val="16"/>
                            <w:lang w:val="fr-FR"/>
                          </w:rPr>
                          <w:t xml:space="preserve"> (+241) 074 23 38 65 </w:t>
                        </w:r>
                      </w:p>
                      <w:p w14:paraId="03E675DD" w14:textId="77777777" w:rsidR="00F24455" w:rsidRDefault="00F24455">
                        <w:pPr>
                          <w:ind w:left="34"/>
                          <w:rPr>
                            <w:color w:val="525252"/>
                            <w:sz w:val="16"/>
                            <w:lang w:val="fr-FR"/>
                          </w:rPr>
                        </w:pPr>
                        <w:r>
                          <w:rPr>
                            <w:color w:val="525252"/>
                            <w:sz w:val="16"/>
                            <w:lang w:val="fr-FR"/>
                          </w:rPr>
                          <w:t>luc@conservation-justice.org</w:t>
                        </w:r>
                      </w:p>
                      <w:p w14:paraId="3B444F04"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46981AFA" w14:textId="77777777" w:rsidR="00F24455" w:rsidRDefault="00F24455">
                        <w:pPr>
                          <w:ind w:left="34"/>
                          <w:rPr>
                            <w:noProof/>
                            <w:color w:val="525252"/>
                            <w:sz w:val="18"/>
                          </w:rPr>
                        </w:pPr>
                        <w:r>
                          <w:rPr>
                            <w:noProof/>
                            <w:lang w:val="fr-FR" w:eastAsia="fr-FR"/>
                          </w:rPr>
                          <w:drawing>
                            <wp:inline distT="0" distB="0" distL="0" distR="0" wp14:anchorId="01DDA313" wp14:editId="2EC5B1EC">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544FD072" w14:textId="77777777" w:rsidR="00F24455" w:rsidRDefault="00F24455">
                        <w:pPr>
                          <w:ind w:left="34"/>
                          <w:rPr>
                            <w:noProof/>
                            <w:color w:val="525252"/>
                            <w:sz w:val="16"/>
                          </w:rPr>
                        </w:pPr>
                        <w:r>
                          <w:rPr>
                            <w:noProof/>
                            <w:color w:val="525252"/>
                            <w:sz w:val="16"/>
                          </w:rPr>
                          <w:t>MUYISSI ENVIRONNEMENT</w:t>
                        </w:r>
                      </w:p>
                      <w:p w14:paraId="14FC8746" w14:textId="77777777" w:rsidR="00F24455" w:rsidRDefault="00F24455">
                        <w:pPr>
                          <w:ind w:left="34"/>
                          <w:rPr>
                            <w:noProof/>
                            <w:color w:val="525252"/>
                            <w:sz w:val="16"/>
                          </w:rPr>
                        </w:pPr>
                        <w:r>
                          <w:rPr>
                            <w:noProof/>
                            <w:color w:val="525252"/>
                            <w:sz w:val="16"/>
                          </w:rPr>
                          <w:t xml:space="preserve">(+241) 077873785             ladislasdemaison@gmail.com </w:t>
                        </w:r>
                      </w:p>
                      <w:p w14:paraId="36DE4473" w14:textId="77777777" w:rsidR="00F24455" w:rsidRDefault="00F24455">
                        <w:pPr>
                          <w:ind w:left="34"/>
                          <w:rPr>
                            <w:noProof/>
                            <w:color w:val="525252"/>
                            <w:sz w:val="18"/>
                          </w:rPr>
                        </w:pPr>
                        <w:r>
                          <w:rPr>
                            <w:noProof/>
                            <w:color w:val="525252"/>
                            <w:sz w:val="16"/>
                          </w:rPr>
                          <w:t>ongmuyissi.org</w:t>
                        </w:r>
                      </w:p>
                    </w:tc>
                  </w:tr>
                </w:tbl>
                <w:p w14:paraId="51FF0591"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3F855E3F"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v:textbox>
            <w10:wrap anchorx="page"/>
          </v:rect>
        </w:pict>
      </w:r>
      <w:r>
        <w:rPr>
          <w:iCs/>
          <w:noProof/>
          <w:lang w:val="fr-FR" w:eastAsia="fr-FR"/>
        </w:rPr>
        <w:pict w14:anchorId="2CE86F49">
          <v:rect id="1027" o:spid="_x0000_s1031"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" stroked="f">
            <v:path arrowok="t"/>
          </v:rect>
        </w:pict>
      </w:r>
    </w:p>
    <w:p w14:paraId="5F61DD02" w14:textId="77777777" w:rsidR="00CC204D" w:rsidRPr="00B0607F" w:rsidRDefault="00CC204D" w:rsidP="00B0607F">
      <w:pPr>
        <w:jc w:val="both"/>
        <w:rPr>
          <w:rStyle w:val="Accentuation"/>
          <w:i w:val="0"/>
        </w:rPr>
      </w:pPr>
    </w:p>
    <w:p w14:paraId="486873FC" w14:textId="77777777" w:rsidR="00CC204D" w:rsidRPr="00B0607F" w:rsidRDefault="00CC204D" w:rsidP="00B0607F">
      <w:pPr>
        <w:jc w:val="both"/>
        <w:rPr>
          <w:rStyle w:val="Accentuation"/>
          <w:i w:val="0"/>
        </w:rPr>
      </w:pPr>
    </w:p>
    <w:p w14:paraId="6A3677B7" w14:textId="77777777" w:rsidR="00CC204D" w:rsidRPr="00B0607F" w:rsidRDefault="00CC204D" w:rsidP="00B0607F">
      <w:pPr>
        <w:jc w:val="both"/>
        <w:rPr>
          <w:rStyle w:val="Accentuation"/>
          <w:i w:val="0"/>
        </w:rPr>
      </w:pPr>
    </w:p>
    <w:p w14:paraId="469B9A45" w14:textId="77777777" w:rsidR="00CC204D" w:rsidRPr="00B0607F" w:rsidRDefault="00CC204D" w:rsidP="00B0607F">
      <w:pPr>
        <w:jc w:val="both"/>
        <w:rPr>
          <w:rStyle w:val="Accentuation"/>
          <w:i w:val="0"/>
        </w:rPr>
      </w:pPr>
    </w:p>
    <w:p w14:paraId="5A7A2D65" w14:textId="77777777" w:rsidR="00CC204D" w:rsidRPr="00B0607F" w:rsidRDefault="00CC204D" w:rsidP="00B0607F">
      <w:pPr>
        <w:jc w:val="both"/>
        <w:rPr>
          <w:rStyle w:val="Accentuation"/>
          <w:i w:val="0"/>
        </w:rPr>
      </w:pPr>
    </w:p>
    <w:p w14:paraId="1C2C5DDA" w14:textId="77777777" w:rsidR="00CC204D" w:rsidRPr="00B0607F" w:rsidRDefault="00CC204D" w:rsidP="00B0607F">
      <w:pPr>
        <w:jc w:val="both"/>
        <w:rPr>
          <w:rStyle w:val="Accentuation"/>
          <w:i w:val="0"/>
        </w:rPr>
      </w:pPr>
    </w:p>
    <w:p w14:paraId="6D1925B8" w14:textId="77777777" w:rsidR="00CC204D" w:rsidRDefault="00CC204D" w:rsidP="00B0607F">
      <w:pPr>
        <w:jc w:val="both"/>
        <w:rPr>
          <w:rStyle w:val="Accentuation"/>
          <w:i w:val="0"/>
        </w:rPr>
      </w:pPr>
    </w:p>
    <w:p w14:paraId="78C90684" w14:textId="77777777" w:rsidR="009D1CCE" w:rsidRDefault="009D1CCE" w:rsidP="009D1CCE">
      <w:pPr>
        <w:jc w:val="center"/>
        <w:rPr>
          <w:b/>
          <w:bCs/>
          <w:sz w:val="36"/>
          <w:szCs w:val="36"/>
        </w:rPr>
      </w:pPr>
      <w:r>
        <w:rPr>
          <w:b/>
          <w:bCs/>
          <w:sz w:val="36"/>
          <w:szCs w:val="36"/>
        </w:rPr>
        <w:t xml:space="preserve">Appui à la </w:t>
      </w:r>
      <w:r w:rsidR="00B84130" w:rsidRPr="009D1CCE">
        <w:rPr>
          <w:b/>
          <w:bCs/>
          <w:sz w:val="36"/>
          <w:szCs w:val="36"/>
        </w:rPr>
        <w:t>Lutte contre l’exploitation forestière illégale </w:t>
      </w:r>
    </w:p>
    <w:p w14:paraId="530BEDC3" w14:textId="77777777" w:rsidR="00CC204D" w:rsidRPr="009D1CCE" w:rsidRDefault="009D1CCE" w:rsidP="009D1CCE">
      <w:pPr>
        <w:ind w:left="426"/>
        <w:jc w:val="center"/>
        <w:rPr>
          <w:rStyle w:val="Accentuation"/>
          <w:b/>
          <w:bCs/>
          <w:sz w:val="36"/>
          <w:szCs w:val="36"/>
        </w:rPr>
      </w:pPr>
      <w:r>
        <w:rPr>
          <w:b/>
          <w:bCs/>
          <w:sz w:val="36"/>
          <w:szCs w:val="36"/>
        </w:rPr>
        <w:t xml:space="preserve"> ALEFI</w:t>
      </w:r>
    </w:p>
    <w:p w14:paraId="0BAD3CC4" w14:textId="77777777" w:rsidR="00CC204D" w:rsidRPr="00B0607F" w:rsidRDefault="00CC204D" w:rsidP="00B0607F">
      <w:pPr>
        <w:jc w:val="both"/>
        <w:rPr>
          <w:rStyle w:val="Accentuation"/>
          <w:i w:val="0"/>
        </w:rPr>
      </w:pPr>
    </w:p>
    <w:p w14:paraId="1000E666" w14:textId="77777777" w:rsidR="003F11F9" w:rsidRDefault="003F11F9" w:rsidP="00F15FC2">
      <w:pPr>
        <w:rPr>
          <w:rStyle w:val="Accentuation"/>
          <w:i w:val="0"/>
        </w:rPr>
      </w:pPr>
    </w:p>
    <w:p w14:paraId="0D939D91" w14:textId="77777777" w:rsidR="003F11F9" w:rsidRDefault="003F11F9">
      <w:pPr>
        <w:jc w:val="center"/>
        <w:rPr>
          <w:rStyle w:val="Accentuation"/>
          <w:i w:val="0"/>
        </w:rPr>
      </w:pPr>
    </w:p>
    <w:p w14:paraId="7310743A" w14:textId="77777777" w:rsidR="003F11F9" w:rsidRDefault="003F11F9">
      <w:pPr>
        <w:jc w:val="center"/>
        <w:rPr>
          <w:rStyle w:val="Accentuation"/>
          <w:i w:val="0"/>
        </w:rPr>
      </w:pPr>
    </w:p>
    <w:p w14:paraId="5947C9E2" w14:textId="77777777" w:rsidR="003F11F9" w:rsidRDefault="006A575E">
      <w:pPr>
        <w:jc w:val="center"/>
        <w:rPr>
          <w:rStyle w:val="Accentuation"/>
          <w:i w:val="0"/>
        </w:rPr>
      </w:pPr>
      <w:r w:rsidRPr="00B0607F">
        <w:rPr>
          <w:rStyle w:val="Accentuation"/>
          <w:i w:val="0"/>
        </w:rPr>
        <w:t>SOMMAIRE</w:t>
      </w:r>
    </w:p>
    <w:p w14:paraId="3218C3D6" w14:textId="77777777" w:rsidR="00CC204D" w:rsidRPr="00B0607F" w:rsidRDefault="00CC204D" w:rsidP="00B0607F">
      <w:pPr>
        <w:jc w:val="both"/>
        <w:rPr>
          <w:rStyle w:val="Accentuation"/>
          <w:i w:val="0"/>
        </w:rPr>
      </w:pPr>
    </w:p>
    <w:p w14:paraId="7B1DAF52" w14:textId="77777777" w:rsidR="00CC204D" w:rsidRPr="00B0607F" w:rsidRDefault="00CC204D" w:rsidP="00B0607F">
      <w:pPr>
        <w:jc w:val="both"/>
        <w:rPr>
          <w:rStyle w:val="Accentuation"/>
          <w:i w:val="0"/>
        </w:rPr>
      </w:pPr>
    </w:p>
    <w:p w14:paraId="3CDBE10A" w14:textId="77777777" w:rsidR="00CC204D" w:rsidRPr="00B0607F" w:rsidRDefault="007F23D3"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14:paraId="5A550709" w14:textId="77777777"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14:paraId="0AFBCC46" w14:textId="77777777"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p>
    <w:p w14:paraId="78D85166" w14:textId="77777777"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42718A">
        <w:rPr>
          <w:webHidden/>
        </w:rPr>
        <w:t>2-</w:t>
      </w:r>
      <w:r w:rsidR="00707E5F">
        <w:rPr>
          <w:webHidden/>
        </w:rPr>
        <w:t>3</w:t>
      </w:r>
    </w:p>
    <w:p w14:paraId="1DB7AA32" w14:textId="77777777"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707E5F">
        <w:rPr>
          <w:webHidden/>
        </w:rPr>
        <w:t>3</w:t>
      </w:r>
      <w:r w:rsidR="0042718A">
        <w:rPr>
          <w:webHidden/>
        </w:rPr>
        <w:t>-4</w:t>
      </w:r>
    </w:p>
    <w:p w14:paraId="2A09089F" w14:textId="77777777" w:rsidR="00CC204D" w:rsidRPr="00B0607F" w:rsidRDefault="006A575E" w:rsidP="00B0607F">
      <w:pPr>
        <w:pStyle w:val="TM1"/>
        <w:jc w:val="both"/>
        <w:rPr>
          <w:webHidden/>
        </w:rPr>
      </w:pPr>
      <w:r w:rsidRPr="00B0607F">
        <w:rPr>
          <w:i/>
          <w:iCs/>
        </w:rPr>
        <w:t>Communication</w:t>
      </w:r>
      <w:r w:rsidR="00BA4E36" w:rsidRPr="00B0607F">
        <w:rPr>
          <w:webHidden/>
        </w:rPr>
        <w:tab/>
      </w:r>
      <w:r w:rsidR="0042718A">
        <w:rPr>
          <w:webHidden/>
        </w:rPr>
        <w:t>4</w:t>
      </w:r>
      <w:r w:rsidR="000449C3">
        <w:rPr>
          <w:webHidden/>
        </w:rPr>
        <w:t>-5</w:t>
      </w:r>
    </w:p>
    <w:p w14:paraId="379C880A" w14:textId="77777777" w:rsidR="00BA4E36" w:rsidRPr="00B0607F" w:rsidRDefault="00BA4E36" w:rsidP="00B0607F">
      <w:pPr>
        <w:pStyle w:val="TM1"/>
        <w:jc w:val="both"/>
      </w:pPr>
      <w:r w:rsidRPr="00B0607F">
        <w:rPr>
          <w:i/>
          <w:iCs/>
        </w:rPr>
        <w:t>Relations extérieures</w:t>
      </w:r>
      <w:r w:rsidR="00FB7EFD">
        <w:rPr>
          <w:webHidden/>
        </w:rPr>
        <w:tab/>
      </w:r>
      <w:r w:rsidR="00707E5F">
        <w:rPr>
          <w:webHidden/>
        </w:rPr>
        <w:t>5</w:t>
      </w:r>
    </w:p>
    <w:p w14:paraId="0B1BBE07" w14:textId="77777777" w:rsidR="00CC204D" w:rsidRPr="00B0607F" w:rsidRDefault="00D11554" w:rsidP="00B0607F">
      <w:pPr>
        <w:pStyle w:val="TM1"/>
        <w:jc w:val="both"/>
        <w:rPr>
          <w:rFonts w:eastAsia="SimSun"/>
          <w:lang w:eastAsia="fr-FR" w:bidi="ar-SA"/>
        </w:rPr>
      </w:pPr>
      <w:r>
        <w:rPr>
          <w:b/>
          <w:szCs w:val="28"/>
          <w:lang w:val="fr-FR" w:eastAsia="fr-FR" w:bidi="ar-SA"/>
        </w:rPr>
        <w:pict w14:anchorId="6C0202FB">
          <v:rect id="Rectangle 10" o:spid="_x0000_s1027" style="position:absolute;left:0;text-align:left;margin-left:-18.3pt;margin-top:17.55pt;width:468pt;height:68.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" stroked="f">
            <v:path arrowok="t"/>
            <v:textbox>
              <w:txbxContent>
                <w:p w14:paraId="3A51961F" w14:textId="77777777" w:rsidR="00F24455" w:rsidRDefault="00F24455" w:rsidP="00A0221B">
                  <w:pPr>
                    <w:jc w:val="center"/>
                    <w:rPr>
                      <w:b/>
                      <w:szCs w:val="28"/>
                      <w:lang w:val="fr-FR"/>
                    </w:rPr>
                  </w:pPr>
                </w:p>
                <w:p w14:paraId="66F8F382" w14:textId="77777777" w:rsidR="00F24455" w:rsidRDefault="00F24455" w:rsidP="00A0221B">
                  <w:pPr>
                    <w:jc w:val="center"/>
                    <w:rPr>
                      <w:b/>
                      <w:szCs w:val="28"/>
                      <w:lang w:val="fr-FR"/>
                    </w:rPr>
                  </w:pPr>
                  <w:r w:rsidRPr="006A7130">
                    <w:rPr>
                      <w:b/>
                      <w:szCs w:val="28"/>
                      <w:lang w:val="fr-FR"/>
                    </w:rPr>
                    <w:t>R</w:t>
                  </w:r>
                  <w:r w:rsidR="003D39E3">
                    <w:rPr>
                      <w:b/>
                      <w:szCs w:val="28"/>
                      <w:lang w:val="fr-FR"/>
                    </w:rPr>
                    <w:t>apport Mensuel Juin</w:t>
                  </w:r>
                  <w:r>
                    <w:rPr>
                      <w:b/>
                      <w:szCs w:val="28"/>
                      <w:lang w:val="fr-FR"/>
                    </w:rPr>
                    <w:t xml:space="preserve"> 2021</w:t>
                  </w:r>
                </w:p>
                <w:p w14:paraId="77A2B0AB" w14:textId="77777777" w:rsidR="00F24455" w:rsidRPr="006A7130" w:rsidRDefault="00F24455" w:rsidP="00A0221B">
                  <w:pPr>
                    <w:jc w:val="center"/>
                    <w:rPr>
                      <w:b/>
                      <w:szCs w:val="28"/>
                      <w:lang w:val="fr-FR"/>
                    </w:rPr>
                  </w:pPr>
                </w:p>
                <w:p w14:paraId="37608649" w14:textId="77777777" w:rsidR="00F24455" w:rsidRDefault="00F24455" w:rsidP="00A0221B">
                  <w:pPr>
                    <w:jc w:val="center"/>
                    <w:rPr>
                      <w:szCs w:val="28"/>
                      <w:lang w:val="fr-FR"/>
                    </w:rPr>
                  </w:pPr>
                  <w:r w:rsidRPr="006A7130">
                    <w:rPr>
                      <w:szCs w:val="28"/>
                      <w:lang w:val="fr-FR"/>
                    </w:rPr>
                    <w:t>Conservation Justice</w:t>
                  </w:r>
                </w:p>
                <w:p w14:paraId="0D0C633B" w14:textId="77777777" w:rsidR="00F24455" w:rsidRDefault="00F24455" w:rsidP="00A0221B">
                  <w:pPr>
                    <w:jc w:val="center"/>
                    <w:rPr>
                      <w:szCs w:val="28"/>
                      <w:lang w:val="fr-FR"/>
                    </w:rPr>
                  </w:pPr>
                </w:p>
                <w:p w14:paraId="2F479791" w14:textId="77777777" w:rsidR="00F24455" w:rsidRDefault="00F24455" w:rsidP="00A0221B">
                  <w:pPr>
                    <w:jc w:val="center"/>
                    <w:rPr>
                      <w:szCs w:val="28"/>
                      <w:lang w:val="fr-FR"/>
                    </w:rPr>
                  </w:pPr>
                </w:p>
                <w:p w14:paraId="688E53F0" w14:textId="77777777" w:rsidR="00F24455" w:rsidRPr="006A7130" w:rsidRDefault="00F24455" w:rsidP="00A0221B">
                  <w:pPr>
                    <w:jc w:val="center"/>
                    <w:rPr>
                      <w:szCs w:val="28"/>
                      <w:lang w:val="fr-FR"/>
                    </w:rPr>
                  </w:pPr>
                </w:p>
              </w:txbxContent>
            </v:textbox>
          </v:rect>
        </w:pict>
      </w:r>
      <w:r w:rsidR="006A575E" w:rsidRPr="00B0607F">
        <w:rPr>
          <w:i/>
          <w:iCs/>
        </w:rPr>
        <w:t>Conclusion</w:t>
      </w:r>
      <w:r w:rsidR="008A4120" w:rsidRPr="00B0607F">
        <w:rPr>
          <w:webHidden/>
        </w:rPr>
        <w:tab/>
      </w:r>
      <w:r w:rsidR="000449C3">
        <w:rPr>
          <w:webHidden/>
        </w:rPr>
        <w:t>6</w:t>
      </w:r>
    </w:p>
    <w:p w14:paraId="4255D694" w14:textId="77777777" w:rsidR="00CC204D" w:rsidRPr="00B0607F" w:rsidRDefault="007F23D3" w:rsidP="00B0607F">
      <w:pPr>
        <w:jc w:val="both"/>
        <w:rPr>
          <w:rStyle w:val="Accentuation"/>
          <w:i w:val="0"/>
        </w:rPr>
      </w:pPr>
      <w:r w:rsidRPr="00B0607F">
        <w:rPr>
          <w:rStyle w:val="Accentuation"/>
          <w:i w:val="0"/>
        </w:rPr>
        <w:fldChar w:fldCharType="end"/>
      </w:r>
    </w:p>
    <w:p w14:paraId="7215C2E8" w14:textId="77777777" w:rsidR="00A0221B" w:rsidRPr="00B0607F" w:rsidRDefault="00A0221B" w:rsidP="00B0607F">
      <w:pPr>
        <w:jc w:val="both"/>
        <w:rPr>
          <w:b/>
          <w:szCs w:val="28"/>
          <w:lang w:val="fr-FR"/>
        </w:rPr>
      </w:pPr>
      <w:r w:rsidRPr="00B0607F">
        <w:rPr>
          <w:b/>
          <w:szCs w:val="28"/>
          <w:lang w:val="fr-FR"/>
        </w:rPr>
        <w:t>Rapport Mensuel septembre 2019</w:t>
      </w:r>
    </w:p>
    <w:p w14:paraId="47E321A3" w14:textId="77777777" w:rsidR="00A0221B" w:rsidRPr="00B0607F" w:rsidRDefault="00A0221B" w:rsidP="00B0607F">
      <w:pPr>
        <w:jc w:val="both"/>
        <w:rPr>
          <w:szCs w:val="28"/>
          <w:lang w:val="fr-FR"/>
        </w:rPr>
      </w:pPr>
      <w:r w:rsidRPr="00B0607F">
        <w:rPr>
          <w:szCs w:val="28"/>
          <w:lang w:val="fr-FR"/>
        </w:rPr>
        <w:t>Conservation Justice</w:t>
      </w:r>
    </w:p>
    <w:p w14:paraId="6F8E3EA8" w14:textId="77777777" w:rsidR="00A0221B" w:rsidRPr="00B0607F" w:rsidRDefault="00A0221B" w:rsidP="00B0607F">
      <w:pPr>
        <w:tabs>
          <w:tab w:val="right" w:leader="dot" w:pos="9062"/>
        </w:tabs>
        <w:jc w:val="both"/>
        <w:rPr>
          <w:rStyle w:val="Accentuation"/>
          <w:i w:val="0"/>
        </w:rPr>
      </w:pPr>
    </w:p>
    <w:p w14:paraId="3F06A812" w14:textId="77777777" w:rsidR="00A0221B" w:rsidRPr="00B0607F" w:rsidRDefault="00A0221B" w:rsidP="00B0607F">
      <w:pPr>
        <w:tabs>
          <w:tab w:val="right" w:leader="dot" w:pos="9062"/>
        </w:tabs>
        <w:jc w:val="both"/>
        <w:rPr>
          <w:rStyle w:val="Accentuation"/>
          <w:sz w:val="22"/>
        </w:rPr>
      </w:pPr>
    </w:p>
    <w:p w14:paraId="7D6A89E2" w14:textId="77777777" w:rsidR="00F15FC2" w:rsidRPr="00E27DD6" w:rsidRDefault="00F15FC2" w:rsidP="00F15FC2">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14:anchorId="2439519E" wp14:editId="45FCECBF">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7B38B103" w14:textId="77777777" w:rsidR="00F15FC2" w:rsidRPr="00454133" w:rsidRDefault="00F15FC2" w:rsidP="00F15FC2">
      <w:pPr>
        <w:tabs>
          <w:tab w:val="left" w:pos="2680"/>
          <w:tab w:val="right" w:leader="dot" w:pos="9062"/>
        </w:tabs>
        <w:jc w:val="center"/>
        <w:rPr>
          <w:rStyle w:val="Accentuation"/>
          <w:rFonts w:ascii="Arial" w:hAnsi="Arial" w:cs="Arial"/>
          <w:i w:val="0"/>
          <w:iCs w:val="0"/>
          <w:sz w:val="22"/>
          <w:szCs w:val="22"/>
        </w:rPr>
      </w:pPr>
      <w:r w:rsidRPr="00454133">
        <w:rPr>
          <w:rStyle w:val="Accentuation"/>
          <w:rFonts w:ascii="Arial" w:hAnsi="Arial" w:cs="Arial"/>
          <w:i w:val="0"/>
          <w:iCs w:val="0"/>
          <w:sz w:val="22"/>
          <w:szCs w:val="22"/>
        </w:rPr>
        <w:t>Union européenne</w:t>
      </w:r>
    </w:p>
    <w:p w14:paraId="48EBC17E"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176ACCED"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774464E1" w14:textId="77777777" w:rsidR="00F15FC2" w:rsidRPr="00E27DD6" w:rsidRDefault="00F15FC2" w:rsidP="00F15FC2">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5DF0234" w14:textId="77777777" w:rsidR="00CC204D" w:rsidRPr="00B0607F" w:rsidRDefault="00D11554" w:rsidP="00B0607F">
      <w:pPr>
        <w:jc w:val="both"/>
        <w:rPr>
          <w:rStyle w:val="Accentuation"/>
          <w:i w:val="0"/>
        </w:rPr>
      </w:pPr>
      <w:r>
        <w:rPr>
          <w:iCs/>
          <w:noProof/>
          <w:lang w:val="fr-FR" w:eastAsia="fr-FR"/>
        </w:rPr>
        <w:pict w14:anchorId="131326C5">
          <v:rect id="1028" o:spid="_x0000_s1028" style="position:absolute;left:0;text-align:left;margin-left:-6.75pt;margin-top:133.85pt;width:482.25pt;height:93.75pt;z-index:5;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" stroked="f">
            <v:path arrowok="t"/>
            <v:textbox style="mso-next-textbox:#1028">
              <w:txbxContent>
                <w:p w14:paraId="584257C0" w14:textId="77777777" w:rsidR="00F24455" w:rsidRDefault="00F24455"/>
              </w:txbxContent>
            </v:textbox>
          </v:rect>
        </w:pict>
      </w:r>
      <w:r>
        <w:rPr>
          <w:iCs/>
          <w:noProof/>
          <w:lang w:val="fr-FR" w:eastAsia="fr-FR"/>
        </w:rPr>
        <w:pict w14:anchorId="60C2FCB3">
          <v:rect id="1030" o:spid="_x0000_s1029" style="position:absolute;left:0;text-align:left;margin-left:375pt;margin-top:162pt;width:93.75pt;height:35.25pt;z-index:3;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" stroked="f">
            <v:path arrowok="t"/>
          </v:rect>
        </w:pict>
      </w:r>
      <w:r w:rsidR="006A575E" w:rsidRPr="00B0607F">
        <w:rPr>
          <w:rStyle w:val="Accentuation"/>
          <w:i w:val="0"/>
        </w:rPr>
        <w:br w:type="page"/>
      </w:r>
    </w:p>
    <w:p w14:paraId="27643F1D" w14:textId="77777777" w:rsidR="009A5D44" w:rsidRPr="005C3886" w:rsidRDefault="006A575E" w:rsidP="00C82FB7">
      <w:pPr>
        <w:pStyle w:val="Titre1"/>
        <w:rPr>
          <w:i/>
        </w:rPr>
      </w:pPr>
      <w:r w:rsidRPr="005C3886">
        <w:rPr>
          <w:rStyle w:val="Accentuation"/>
          <w:iCs w:val="0"/>
        </w:rPr>
        <w:lastRenderedPageBreak/>
        <w:t>1. Points principaux</w:t>
      </w:r>
    </w:p>
    <w:p w14:paraId="4BD5F42E" w14:textId="77777777" w:rsidR="0027392E" w:rsidRPr="005C3886" w:rsidRDefault="0027392E" w:rsidP="0045362E">
      <w:pPr>
        <w:jc w:val="both"/>
        <w:rPr>
          <w:rFonts w:asciiTheme="minorHAnsi" w:hAnsiTheme="minorHAnsi" w:cstheme="minorHAnsi"/>
          <w:color w:val="000000"/>
          <w:sz w:val="22"/>
          <w:szCs w:val="22"/>
          <w:lang w:eastAsia="fr-FR"/>
        </w:rPr>
      </w:pPr>
    </w:p>
    <w:p w14:paraId="6A056ED6" w14:textId="728C01D4" w:rsidR="00BA5AED" w:rsidRPr="005C3886" w:rsidRDefault="003D39E3" w:rsidP="00BA5AED">
      <w:pPr>
        <w:jc w:val="both"/>
        <w:rPr>
          <w:rFonts w:asciiTheme="minorHAnsi" w:hAnsiTheme="minorHAnsi" w:cstheme="minorHAnsi"/>
          <w:sz w:val="22"/>
          <w:szCs w:val="22"/>
        </w:rPr>
      </w:pPr>
      <w:r>
        <w:rPr>
          <w:rFonts w:asciiTheme="minorHAnsi" w:hAnsiTheme="minorHAnsi" w:cstheme="minorHAnsi"/>
          <w:sz w:val="22"/>
          <w:szCs w:val="22"/>
        </w:rPr>
        <w:t xml:space="preserve">Pour ce mois de </w:t>
      </w:r>
      <w:r w:rsidR="00670541">
        <w:rPr>
          <w:rFonts w:asciiTheme="minorHAnsi" w:hAnsiTheme="minorHAnsi" w:cstheme="minorHAnsi"/>
          <w:sz w:val="22"/>
          <w:szCs w:val="22"/>
        </w:rPr>
        <w:t>juillet</w:t>
      </w:r>
      <w:r w:rsidR="00B84B18">
        <w:rPr>
          <w:rFonts w:asciiTheme="minorHAnsi" w:hAnsiTheme="minorHAnsi" w:cstheme="minorHAnsi"/>
          <w:sz w:val="22"/>
          <w:szCs w:val="22"/>
        </w:rPr>
        <w:t xml:space="preserve"> 2021</w:t>
      </w:r>
      <w:r w:rsidR="00BA5AED" w:rsidRPr="005C3886">
        <w:rPr>
          <w:rFonts w:asciiTheme="minorHAnsi" w:hAnsiTheme="minorHAnsi" w:cstheme="minorHAnsi"/>
          <w:sz w:val="22"/>
          <w:szCs w:val="22"/>
        </w:rPr>
        <w:t>, les principales activités réalisées tournent autour</w:t>
      </w:r>
      <w:r w:rsidR="00A56BD2">
        <w:rPr>
          <w:rFonts w:asciiTheme="minorHAnsi" w:hAnsiTheme="minorHAnsi" w:cstheme="minorHAnsi"/>
          <w:sz w:val="22"/>
          <w:szCs w:val="22"/>
        </w:rPr>
        <w:t xml:space="preserve"> </w:t>
      </w:r>
      <w:r w:rsidR="00BA5AED" w:rsidRPr="005C3886">
        <w:rPr>
          <w:rFonts w:asciiTheme="minorHAnsi" w:hAnsiTheme="minorHAnsi" w:cstheme="minorHAnsi"/>
          <w:sz w:val="22"/>
          <w:szCs w:val="22"/>
        </w:rPr>
        <w:t>du suivi des cahiers de charge</w:t>
      </w:r>
      <w:r w:rsidR="00E264B3">
        <w:rPr>
          <w:rFonts w:asciiTheme="minorHAnsi" w:hAnsiTheme="minorHAnsi" w:cstheme="minorHAnsi"/>
          <w:sz w:val="22"/>
          <w:szCs w:val="22"/>
        </w:rPr>
        <w:t>s</w:t>
      </w:r>
      <w:r w:rsidR="00BA5AED" w:rsidRPr="005C3886">
        <w:rPr>
          <w:rFonts w:asciiTheme="minorHAnsi" w:hAnsiTheme="minorHAnsi" w:cstheme="minorHAnsi"/>
          <w:sz w:val="22"/>
          <w:szCs w:val="22"/>
        </w:rPr>
        <w:t xml:space="preserve"> contractuelle</w:t>
      </w:r>
      <w:r w:rsidR="00E264B3">
        <w:rPr>
          <w:rFonts w:asciiTheme="minorHAnsi" w:hAnsiTheme="minorHAnsi" w:cstheme="minorHAnsi"/>
          <w:sz w:val="22"/>
          <w:szCs w:val="22"/>
        </w:rPr>
        <w:t>s</w:t>
      </w:r>
      <w:r w:rsidR="00AB288E">
        <w:rPr>
          <w:rFonts w:asciiTheme="minorHAnsi" w:hAnsiTheme="minorHAnsi" w:cstheme="minorHAnsi"/>
          <w:sz w:val="22"/>
          <w:szCs w:val="22"/>
        </w:rPr>
        <w:t>, de la gestion des forêts communautaires et</w:t>
      </w:r>
      <w:r w:rsidR="00BA5AED" w:rsidRPr="005C3886">
        <w:rPr>
          <w:rFonts w:asciiTheme="minorHAnsi" w:hAnsiTheme="minorHAnsi" w:cstheme="minorHAnsi"/>
          <w:sz w:val="22"/>
          <w:szCs w:val="22"/>
        </w:rPr>
        <w:t xml:space="preserve"> d’information et de sensibilisation des communautés. </w:t>
      </w:r>
    </w:p>
    <w:p w14:paraId="6D79F7AF" w14:textId="77777777" w:rsidR="00BA5AED" w:rsidRPr="005C3886" w:rsidRDefault="00BA5AED" w:rsidP="00BA5AED">
      <w:pPr>
        <w:jc w:val="both"/>
        <w:rPr>
          <w:rFonts w:asciiTheme="minorHAnsi" w:hAnsiTheme="minorHAnsi" w:cstheme="minorHAnsi"/>
          <w:sz w:val="22"/>
          <w:szCs w:val="22"/>
        </w:rPr>
      </w:pPr>
    </w:p>
    <w:p w14:paraId="7B1FDCA5" w14:textId="77777777" w:rsidR="00BA5AED" w:rsidRPr="005C3886" w:rsidRDefault="00BA5AED" w:rsidP="00BA5AED">
      <w:pPr>
        <w:jc w:val="both"/>
        <w:rPr>
          <w:rFonts w:asciiTheme="minorHAnsi" w:hAnsiTheme="minorHAnsi" w:cstheme="minorHAnsi"/>
          <w:color w:val="000000"/>
          <w:sz w:val="22"/>
          <w:szCs w:val="22"/>
          <w:lang w:eastAsia="fr-FR"/>
        </w:rPr>
      </w:pPr>
    </w:p>
    <w:p w14:paraId="482729E3" w14:textId="0392252A" w:rsidR="000D2D7C" w:rsidRPr="000D2D7C" w:rsidRDefault="000D2D7C" w:rsidP="00BA5AED">
      <w:pPr>
        <w:pStyle w:val="Paragraphedeliste"/>
        <w:numPr>
          <w:ilvl w:val="0"/>
          <w:numId w:val="30"/>
        </w:numPr>
        <w:jc w:val="both"/>
        <w:rPr>
          <w:rFonts w:asciiTheme="minorHAnsi" w:hAnsiTheme="minorHAnsi" w:cstheme="minorHAnsi"/>
          <w:sz w:val="22"/>
          <w:szCs w:val="22"/>
        </w:rPr>
      </w:pPr>
      <w:r w:rsidRPr="00381EF8">
        <w:rPr>
          <w:rFonts w:asciiTheme="minorHAnsi" w:hAnsiTheme="minorHAnsi" w:cstheme="minorHAnsi"/>
          <w:b/>
          <w:bCs/>
          <w:sz w:val="22"/>
          <w:szCs w:val="22"/>
          <w:u w:val="single"/>
        </w:rPr>
        <w:t xml:space="preserve">Du </w:t>
      </w:r>
      <w:r w:rsidR="00670541">
        <w:rPr>
          <w:rFonts w:asciiTheme="minorHAnsi" w:hAnsiTheme="minorHAnsi" w:cstheme="minorHAnsi"/>
          <w:b/>
          <w:bCs/>
          <w:sz w:val="22"/>
          <w:szCs w:val="22"/>
          <w:u w:val="single"/>
        </w:rPr>
        <w:t>28/06/2021 au 08/07/2021</w:t>
      </w:r>
      <w:r>
        <w:rPr>
          <w:rFonts w:asciiTheme="minorHAnsi" w:hAnsiTheme="minorHAnsi" w:cstheme="minorHAnsi"/>
          <w:sz w:val="22"/>
          <w:szCs w:val="22"/>
        </w:rPr>
        <w:t xml:space="preserve">, </w:t>
      </w:r>
      <w:r w:rsidR="00670541">
        <w:rPr>
          <w:rFonts w:asciiTheme="minorHAnsi" w:hAnsiTheme="minorHAnsi" w:cstheme="minorHAnsi"/>
          <w:sz w:val="22"/>
          <w:szCs w:val="22"/>
        </w:rPr>
        <w:t>une mission sociale a été conduite par B</w:t>
      </w:r>
      <w:r w:rsidR="00C917E0">
        <w:rPr>
          <w:rFonts w:asciiTheme="minorHAnsi" w:hAnsiTheme="minorHAnsi" w:cstheme="minorHAnsi"/>
          <w:sz w:val="22"/>
          <w:szCs w:val="22"/>
        </w:rPr>
        <w:t>rainforest</w:t>
      </w:r>
      <w:r w:rsidR="00670541">
        <w:rPr>
          <w:rFonts w:asciiTheme="minorHAnsi" w:hAnsiTheme="minorHAnsi" w:cstheme="minorHAnsi"/>
          <w:sz w:val="22"/>
          <w:szCs w:val="22"/>
        </w:rPr>
        <w:t xml:space="preserve"> dans la province de l’Ogooué Ivindo</w:t>
      </w:r>
    </w:p>
    <w:p w14:paraId="1159E3F6" w14:textId="77777777" w:rsidR="00721AAA" w:rsidRPr="005C3886" w:rsidRDefault="00721AAA" w:rsidP="00721AAA">
      <w:pPr>
        <w:pStyle w:val="Paragraphedeliste"/>
        <w:rPr>
          <w:rFonts w:asciiTheme="minorHAnsi" w:hAnsiTheme="minorHAnsi" w:cstheme="minorHAnsi"/>
          <w:sz w:val="22"/>
          <w:szCs w:val="22"/>
        </w:rPr>
      </w:pPr>
    </w:p>
    <w:p w14:paraId="408B0B71" w14:textId="77777777" w:rsidR="0027392E" w:rsidRPr="005C3886" w:rsidRDefault="0027392E" w:rsidP="0042718A">
      <w:pPr>
        <w:jc w:val="both"/>
        <w:rPr>
          <w:rStyle w:val="Accentuation"/>
          <w:rFonts w:asciiTheme="minorHAnsi" w:hAnsiTheme="minorHAnsi" w:cstheme="minorHAnsi"/>
          <w:b/>
          <w:i w:val="0"/>
          <w:sz w:val="22"/>
          <w:szCs w:val="22"/>
        </w:rPr>
      </w:pPr>
    </w:p>
    <w:p w14:paraId="3142B4EF" w14:textId="77777777" w:rsidR="000A591E" w:rsidRPr="005C3886" w:rsidRDefault="000A591E" w:rsidP="000A591E">
      <w:pPr>
        <w:pStyle w:val="Titre1"/>
        <w:rPr>
          <w:rStyle w:val="Accentuation"/>
          <w:b w:val="0"/>
          <w:i w:val="0"/>
        </w:rPr>
      </w:pPr>
      <w:r w:rsidRPr="005C3886">
        <w:rPr>
          <w:rStyle w:val="Accentuation"/>
        </w:rPr>
        <w:t>2. Investigations</w:t>
      </w:r>
    </w:p>
    <w:p w14:paraId="67240838" w14:textId="77777777" w:rsidR="000A591E" w:rsidRPr="005C3886" w:rsidRDefault="000A591E" w:rsidP="000A591E">
      <w:pPr>
        <w:jc w:val="both"/>
        <w:rPr>
          <w:rStyle w:val="Accentuation"/>
          <w:rFonts w:asciiTheme="minorHAnsi" w:hAnsiTheme="minorHAnsi" w:cstheme="minorHAnsi"/>
          <w:b/>
          <w:i w:val="0"/>
          <w:sz w:val="22"/>
          <w:szCs w:val="22"/>
        </w:rPr>
      </w:pPr>
    </w:p>
    <w:p w14:paraId="6C5C2C8D" w14:textId="77777777" w:rsidR="000A591E" w:rsidRPr="00370365" w:rsidRDefault="000A591E" w:rsidP="000A591E">
      <w:pPr>
        <w:spacing w:after="240"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531"/>
        <w:gridCol w:w="4531"/>
      </w:tblGrid>
      <w:tr w:rsidR="000A591E" w:rsidRPr="00370365" w14:paraId="36E533A0" w14:textId="77777777" w:rsidTr="004E4D64">
        <w:tc>
          <w:tcPr>
            <w:tcW w:w="4531" w:type="dxa"/>
          </w:tcPr>
          <w:p w14:paraId="2725FFC1" w14:textId="77777777" w:rsidR="000A591E" w:rsidRPr="00370365" w:rsidRDefault="000A591E" w:rsidP="004E4D64">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Nombre d’investigations menées</w:t>
            </w:r>
          </w:p>
        </w:tc>
        <w:tc>
          <w:tcPr>
            <w:tcW w:w="4531" w:type="dxa"/>
          </w:tcPr>
          <w:p w14:paraId="77D1638E" w14:textId="3BD33491" w:rsidR="000A591E" w:rsidRPr="00370365" w:rsidRDefault="000A591E" w:rsidP="00B21D71">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0</w:t>
            </w:r>
            <w:r w:rsidR="00C917E0">
              <w:rPr>
                <w:rFonts w:asciiTheme="minorHAnsi" w:hAnsiTheme="minorHAnsi" w:cstheme="minorHAnsi"/>
                <w:i/>
                <w:sz w:val="22"/>
                <w:szCs w:val="22"/>
                <w:lang w:val="fr-FR"/>
              </w:rPr>
              <w:t>0</w:t>
            </w:r>
          </w:p>
        </w:tc>
      </w:tr>
      <w:tr w:rsidR="000A591E" w:rsidRPr="00370365" w14:paraId="2B556B1E" w14:textId="77777777" w:rsidTr="004E4D64">
        <w:tc>
          <w:tcPr>
            <w:tcW w:w="4531" w:type="dxa"/>
          </w:tcPr>
          <w:p w14:paraId="11FA507A" w14:textId="77777777" w:rsidR="000A591E" w:rsidRPr="00370365" w:rsidRDefault="000A591E" w:rsidP="004E4D64">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Investigation ayant menées à une opération</w:t>
            </w:r>
          </w:p>
        </w:tc>
        <w:tc>
          <w:tcPr>
            <w:tcW w:w="4531" w:type="dxa"/>
          </w:tcPr>
          <w:p w14:paraId="4AEE1982" w14:textId="77777777" w:rsidR="000A591E" w:rsidRPr="00370365" w:rsidRDefault="000A591E" w:rsidP="00F9554F">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0</w:t>
            </w:r>
            <w:r w:rsidR="00CF3614" w:rsidRPr="00370365">
              <w:rPr>
                <w:rFonts w:asciiTheme="minorHAnsi" w:hAnsiTheme="minorHAnsi" w:cstheme="minorHAnsi"/>
                <w:i/>
                <w:sz w:val="22"/>
                <w:szCs w:val="22"/>
                <w:lang w:val="fr-FR"/>
              </w:rPr>
              <w:t>0</w:t>
            </w:r>
          </w:p>
        </w:tc>
      </w:tr>
      <w:tr w:rsidR="000A591E" w:rsidRPr="005C3886" w14:paraId="4FE4F8C5" w14:textId="77777777" w:rsidTr="004E4D64">
        <w:tc>
          <w:tcPr>
            <w:tcW w:w="4531" w:type="dxa"/>
          </w:tcPr>
          <w:p w14:paraId="06FB1E0A" w14:textId="77777777" w:rsidR="000A591E" w:rsidRPr="00370365" w:rsidRDefault="000A591E" w:rsidP="004E4D64">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Nombre de trafiquants identifiés</w:t>
            </w:r>
          </w:p>
        </w:tc>
        <w:tc>
          <w:tcPr>
            <w:tcW w:w="4531" w:type="dxa"/>
          </w:tcPr>
          <w:p w14:paraId="6ABC2BB0" w14:textId="3C3D43D4" w:rsidR="000A591E" w:rsidRPr="005C3886" w:rsidRDefault="000A591E" w:rsidP="00B21D71">
            <w:pPr>
              <w:spacing w:line="276" w:lineRule="auto"/>
              <w:jc w:val="both"/>
              <w:rPr>
                <w:rFonts w:asciiTheme="minorHAnsi" w:hAnsiTheme="minorHAnsi" w:cstheme="minorHAnsi"/>
                <w:i/>
                <w:sz w:val="22"/>
                <w:szCs w:val="22"/>
                <w:lang w:val="fr-FR"/>
              </w:rPr>
            </w:pPr>
            <w:r w:rsidRPr="00370365">
              <w:rPr>
                <w:rFonts w:asciiTheme="minorHAnsi" w:hAnsiTheme="minorHAnsi" w:cstheme="minorHAnsi"/>
                <w:i/>
                <w:sz w:val="22"/>
                <w:szCs w:val="22"/>
                <w:lang w:val="fr-FR"/>
              </w:rPr>
              <w:t>0</w:t>
            </w:r>
            <w:r w:rsidR="00381EF8" w:rsidRPr="00370365">
              <w:rPr>
                <w:rFonts w:asciiTheme="minorHAnsi" w:hAnsiTheme="minorHAnsi" w:cstheme="minorHAnsi"/>
                <w:i/>
                <w:sz w:val="22"/>
                <w:szCs w:val="22"/>
                <w:lang w:val="fr-FR"/>
              </w:rPr>
              <w:t>0</w:t>
            </w:r>
          </w:p>
        </w:tc>
      </w:tr>
    </w:tbl>
    <w:p w14:paraId="3347DFE2" w14:textId="77777777" w:rsidR="00381EF8" w:rsidRDefault="00381EF8" w:rsidP="00381EF8">
      <w:pPr>
        <w:jc w:val="both"/>
        <w:rPr>
          <w:rStyle w:val="Accentuation"/>
          <w:rFonts w:asciiTheme="minorHAnsi" w:hAnsiTheme="minorHAnsi" w:cstheme="minorHAnsi"/>
          <w:i w:val="0"/>
          <w:sz w:val="22"/>
          <w:szCs w:val="22"/>
        </w:rPr>
      </w:pPr>
    </w:p>
    <w:p w14:paraId="2F4FB612" w14:textId="6A18AA7F" w:rsidR="000A591E" w:rsidRDefault="00C917E0" w:rsidP="00381EF8">
      <w:pPr>
        <w:jc w:val="both"/>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 xml:space="preserve">Aucune investigation n’a eu lieu ce mois. </w:t>
      </w:r>
    </w:p>
    <w:p w14:paraId="0204178B" w14:textId="77777777" w:rsidR="00381EF8" w:rsidRPr="005C3886" w:rsidRDefault="00381EF8" w:rsidP="00381EF8">
      <w:pPr>
        <w:jc w:val="both"/>
        <w:rPr>
          <w:rStyle w:val="Accentuation"/>
          <w:rFonts w:asciiTheme="minorHAnsi" w:hAnsiTheme="minorHAnsi" w:cstheme="minorHAnsi"/>
          <w:i w:val="0"/>
          <w:sz w:val="22"/>
          <w:szCs w:val="22"/>
        </w:rPr>
      </w:pPr>
    </w:p>
    <w:p w14:paraId="200894BA" w14:textId="77777777" w:rsidR="000A591E" w:rsidRPr="005C3886" w:rsidRDefault="000A591E" w:rsidP="000A591E">
      <w:pPr>
        <w:pStyle w:val="Titre1"/>
        <w:rPr>
          <w:rStyle w:val="Accentuation"/>
          <w:iCs w:val="0"/>
        </w:rPr>
      </w:pPr>
      <w:r w:rsidRPr="005C3886">
        <w:rPr>
          <w:rStyle w:val="Accentuation"/>
          <w:iCs w:val="0"/>
        </w:rPr>
        <w:t>3. Opérations</w:t>
      </w:r>
    </w:p>
    <w:p w14:paraId="043E624A" w14:textId="77777777" w:rsidR="000A591E" w:rsidRPr="005C3886" w:rsidRDefault="000A591E" w:rsidP="000A591E">
      <w:pPr>
        <w:jc w:val="both"/>
        <w:rPr>
          <w:rStyle w:val="Accentuation"/>
          <w:rFonts w:asciiTheme="minorHAnsi" w:hAnsiTheme="minorHAnsi" w:cstheme="minorHAnsi"/>
          <w:i w:val="0"/>
          <w:sz w:val="22"/>
          <w:szCs w:val="22"/>
        </w:rPr>
      </w:pPr>
    </w:p>
    <w:p w14:paraId="684D65A1" w14:textId="77777777" w:rsidR="000A591E" w:rsidRPr="00217DC1" w:rsidRDefault="000A591E" w:rsidP="000A591E">
      <w:pPr>
        <w:spacing w:after="240"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217DC1" w14:paraId="15FD64FF" w14:textId="77777777" w:rsidTr="004E4D64">
        <w:trPr>
          <w:trHeight w:val="70"/>
        </w:trPr>
        <w:tc>
          <w:tcPr>
            <w:tcW w:w="4453" w:type="dxa"/>
          </w:tcPr>
          <w:p w14:paraId="7C40CCE4" w14:textId="77777777" w:rsidR="000A591E" w:rsidRPr="00217DC1" w:rsidRDefault="000A591E" w:rsidP="004E4D64">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Nombre d’opérations menées ce mois</w:t>
            </w:r>
          </w:p>
        </w:tc>
        <w:tc>
          <w:tcPr>
            <w:tcW w:w="4478" w:type="dxa"/>
          </w:tcPr>
          <w:p w14:paraId="5D014D3F" w14:textId="77777777" w:rsidR="000A591E" w:rsidRPr="00217DC1" w:rsidRDefault="000806A3" w:rsidP="00714C12">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0</w:t>
            </w:r>
            <w:r w:rsidR="00714C12" w:rsidRPr="00217DC1">
              <w:rPr>
                <w:rFonts w:asciiTheme="minorHAnsi" w:hAnsiTheme="minorHAnsi" w:cstheme="minorHAnsi"/>
                <w:i/>
                <w:sz w:val="22"/>
                <w:szCs w:val="22"/>
                <w:lang w:val="fr-FR"/>
              </w:rPr>
              <w:t>0</w:t>
            </w:r>
          </w:p>
        </w:tc>
      </w:tr>
      <w:tr w:rsidR="000A591E" w:rsidRPr="00217DC1" w14:paraId="63B1F842" w14:textId="77777777" w:rsidTr="004E4D64">
        <w:trPr>
          <w:trHeight w:val="231"/>
        </w:trPr>
        <w:tc>
          <w:tcPr>
            <w:tcW w:w="4453" w:type="dxa"/>
          </w:tcPr>
          <w:p w14:paraId="35184ED3" w14:textId="77777777" w:rsidR="000A591E" w:rsidRPr="00217DC1" w:rsidRDefault="000A591E" w:rsidP="004E4D64">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 xml:space="preserve">Nombre de personnes arrêtées </w:t>
            </w:r>
          </w:p>
        </w:tc>
        <w:tc>
          <w:tcPr>
            <w:tcW w:w="4478" w:type="dxa"/>
          </w:tcPr>
          <w:p w14:paraId="0094B35F" w14:textId="77777777" w:rsidR="000A591E" w:rsidRPr="00217DC1" w:rsidRDefault="000A591E" w:rsidP="00714C12">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0</w:t>
            </w:r>
            <w:r w:rsidR="00714C12" w:rsidRPr="00217DC1">
              <w:rPr>
                <w:rFonts w:asciiTheme="minorHAnsi" w:hAnsiTheme="minorHAnsi" w:cstheme="minorHAnsi"/>
                <w:i/>
                <w:sz w:val="22"/>
                <w:szCs w:val="22"/>
                <w:lang w:val="fr-FR"/>
              </w:rPr>
              <w:t>0</w:t>
            </w:r>
          </w:p>
        </w:tc>
      </w:tr>
    </w:tbl>
    <w:p w14:paraId="3D8DF763" w14:textId="77777777" w:rsidR="00AC2E33" w:rsidRPr="00217DC1" w:rsidRDefault="00AC2E33" w:rsidP="00AC2E33">
      <w:pPr>
        <w:jc w:val="both"/>
        <w:rPr>
          <w:rStyle w:val="Accentuation"/>
          <w:rFonts w:asciiTheme="minorHAnsi" w:hAnsiTheme="minorHAnsi" w:cstheme="minorHAnsi"/>
          <w:i w:val="0"/>
          <w:sz w:val="22"/>
          <w:szCs w:val="22"/>
        </w:rPr>
      </w:pPr>
    </w:p>
    <w:p w14:paraId="0A585621" w14:textId="77777777" w:rsidR="00AC2E33" w:rsidRPr="005C3886" w:rsidRDefault="00AC2E33" w:rsidP="00AC2E33">
      <w:pPr>
        <w:jc w:val="both"/>
        <w:rPr>
          <w:rStyle w:val="Accentuation"/>
          <w:rFonts w:asciiTheme="minorHAnsi" w:hAnsiTheme="minorHAnsi" w:cstheme="minorHAnsi"/>
          <w:i w:val="0"/>
          <w:sz w:val="22"/>
          <w:szCs w:val="22"/>
        </w:rPr>
      </w:pPr>
      <w:r w:rsidRPr="00217DC1">
        <w:rPr>
          <w:rStyle w:val="Accentuation"/>
          <w:rFonts w:asciiTheme="minorHAnsi" w:hAnsiTheme="minorHAnsi" w:cstheme="minorHAnsi"/>
          <w:i w:val="0"/>
          <w:sz w:val="22"/>
          <w:szCs w:val="22"/>
        </w:rPr>
        <w:t>Il n’y a eu aucune opération conduisant à l’interpellation des auteurs des faits d’exploitation forestière illégale</w:t>
      </w:r>
      <w:r w:rsidR="00217DC1" w:rsidRPr="00217DC1">
        <w:rPr>
          <w:rStyle w:val="Accentuation"/>
          <w:rFonts w:asciiTheme="minorHAnsi" w:hAnsiTheme="minorHAnsi" w:cstheme="minorHAnsi"/>
          <w:i w:val="0"/>
          <w:sz w:val="22"/>
          <w:szCs w:val="22"/>
        </w:rPr>
        <w:t xml:space="preserve"> ce mois.</w:t>
      </w:r>
    </w:p>
    <w:p w14:paraId="79ECD633" w14:textId="77777777" w:rsidR="000A591E" w:rsidRPr="005C3886" w:rsidRDefault="000A591E" w:rsidP="000A591E">
      <w:pPr>
        <w:jc w:val="both"/>
        <w:rPr>
          <w:rStyle w:val="Accentuation"/>
          <w:rFonts w:asciiTheme="minorHAnsi" w:hAnsiTheme="minorHAnsi" w:cstheme="minorHAnsi"/>
          <w:i w:val="0"/>
          <w:sz w:val="22"/>
          <w:szCs w:val="22"/>
        </w:rPr>
      </w:pPr>
    </w:p>
    <w:p w14:paraId="0DE254CC" w14:textId="77777777" w:rsidR="000A591E" w:rsidRPr="005C3886" w:rsidRDefault="000A591E" w:rsidP="000A591E">
      <w:pPr>
        <w:pStyle w:val="Titre1"/>
        <w:rPr>
          <w:rStyle w:val="Accentuation"/>
        </w:rPr>
      </w:pPr>
      <w:r w:rsidRPr="005C3886">
        <w:rPr>
          <w:rStyle w:val="Accentuation"/>
        </w:rPr>
        <w:t>4. Département juridique</w:t>
      </w:r>
    </w:p>
    <w:p w14:paraId="3EDBC9BC" w14:textId="77777777" w:rsidR="000A591E" w:rsidRPr="005C3886" w:rsidRDefault="000A591E" w:rsidP="000A591E">
      <w:pPr>
        <w:jc w:val="both"/>
        <w:rPr>
          <w:rStyle w:val="Accentuation"/>
          <w:rFonts w:asciiTheme="minorHAnsi" w:hAnsiTheme="minorHAnsi" w:cstheme="minorHAnsi"/>
          <w:i w:val="0"/>
          <w:sz w:val="22"/>
          <w:szCs w:val="22"/>
        </w:rPr>
      </w:pPr>
    </w:p>
    <w:p w14:paraId="10D710E9" w14:textId="77777777" w:rsidR="000A591E" w:rsidRPr="00321EB5" w:rsidRDefault="000A591E" w:rsidP="000A591E">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b/>
          <w:i w:val="0"/>
          <w:sz w:val="22"/>
          <w:szCs w:val="22"/>
        </w:rPr>
        <w:t>4.1</w:t>
      </w:r>
      <w:r w:rsidRPr="00321EB5">
        <w:rPr>
          <w:rStyle w:val="Accentuation"/>
          <w:rFonts w:asciiTheme="minorHAnsi" w:hAnsiTheme="minorHAnsi" w:cstheme="minorHAnsi"/>
          <w:b/>
          <w:i w:val="0"/>
          <w:sz w:val="22"/>
          <w:szCs w:val="22"/>
        </w:rPr>
        <w:t>. Suivi des affaires</w:t>
      </w:r>
      <w:r w:rsidRPr="00321EB5">
        <w:rPr>
          <w:rStyle w:val="Accentuation"/>
          <w:rFonts w:asciiTheme="minorHAnsi" w:hAnsiTheme="minorHAnsi" w:cstheme="minorHAnsi"/>
          <w:i w:val="0"/>
          <w:sz w:val="22"/>
          <w:szCs w:val="22"/>
        </w:rPr>
        <w:tab/>
      </w:r>
    </w:p>
    <w:p w14:paraId="25B0656E" w14:textId="77777777" w:rsidR="000A591E" w:rsidRPr="00321EB5" w:rsidRDefault="000A591E" w:rsidP="000A591E">
      <w:pPr>
        <w:jc w:val="both"/>
        <w:rPr>
          <w:rStyle w:val="Accentuation"/>
          <w:rFonts w:asciiTheme="minorHAnsi" w:hAnsiTheme="minorHAnsi" w:cstheme="minorHAnsi"/>
          <w:b/>
          <w:i w:val="0"/>
          <w:color w:val="FF0000"/>
          <w:sz w:val="22"/>
          <w:szCs w:val="22"/>
        </w:rPr>
      </w:pPr>
    </w:p>
    <w:p w14:paraId="7B2FFBEF" w14:textId="77777777" w:rsidR="000A591E" w:rsidRPr="00321EB5" w:rsidRDefault="000A591E" w:rsidP="000A591E">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Indicateurs :</w:t>
      </w:r>
    </w:p>
    <w:p w14:paraId="7AE0EAE5" w14:textId="77777777" w:rsidR="000A591E" w:rsidRPr="00321EB5"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firstRow="1" w:lastRow="0" w:firstColumn="1" w:lastColumn="0" w:noHBand="0" w:noVBand="1"/>
      </w:tblPr>
      <w:tblGrid>
        <w:gridCol w:w="4794"/>
        <w:gridCol w:w="4200"/>
      </w:tblGrid>
      <w:tr w:rsidR="000A591E" w:rsidRPr="00321EB5" w14:paraId="2A95A452" w14:textId="77777777" w:rsidTr="004E4D64">
        <w:trPr>
          <w:jc w:val="center"/>
        </w:trPr>
        <w:tc>
          <w:tcPr>
            <w:tcW w:w="4794" w:type="dxa"/>
          </w:tcPr>
          <w:p w14:paraId="21A042C3"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 xml:space="preserve">Nombre d’affaires suivies                     </w:t>
            </w:r>
          </w:p>
        </w:tc>
        <w:tc>
          <w:tcPr>
            <w:tcW w:w="4200" w:type="dxa"/>
          </w:tcPr>
          <w:p w14:paraId="1C2DF827" w14:textId="0842445E" w:rsidR="000A591E" w:rsidRPr="00321EB5" w:rsidRDefault="00370365" w:rsidP="004E4D64">
            <w:pPr>
              <w:jc w:val="both"/>
              <w:rPr>
                <w:rStyle w:val="Accentuation"/>
                <w:rFonts w:asciiTheme="minorHAnsi" w:hAnsiTheme="minorHAnsi" w:cstheme="minorHAnsi"/>
                <w:sz w:val="22"/>
                <w:szCs w:val="22"/>
              </w:rPr>
            </w:pPr>
            <w:r>
              <w:rPr>
                <w:rStyle w:val="Accentuation"/>
                <w:rFonts w:asciiTheme="minorHAnsi" w:hAnsiTheme="minorHAnsi" w:cstheme="minorHAnsi"/>
                <w:sz w:val="22"/>
                <w:szCs w:val="22"/>
              </w:rPr>
              <w:t>00</w:t>
            </w:r>
          </w:p>
        </w:tc>
      </w:tr>
      <w:tr w:rsidR="000A591E" w:rsidRPr="00321EB5" w14:paraId="4DA027A6" w14:textId="77777777" w:rsidTr="004E4D64">
        <w:trPr>
          <w:jc w:val="center"/>
        </w:trPr>
        <w:tc>
          <w:tcPr>
            <w:tcW w:w="4794" w:type="dxa"/>
          </w:tcPr>
          <w:p w14:paraId="49CDA173"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Nombre de condamnations</w:t>
            </w:r>
          </w:p>
        </w:tc>
        <w:tc>
          <w:tcPr>
            <w:tcW w:w="4200" w:type="dxa"/>
          </w:tcPr>
          <w:p w14:paraId="70B79370"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r w:rsidR="00F9554F" w:rsidRPr="00321EB5">
              <w:rPr>
                <w:rStyle w:val="Accentuation"/>
                <w:rFonts w:asciiTheme="minorHAnsi" w:hAnsiTheme="minorHAnsi" w:cstheme="minorHAnsi"/>
                <w:sz w:val="22"/>
                <w:szCs w:val="22"/>
              </w:rPr>
              <w:t>0</w:t>
            </w:r>
          </w:p>
        </w:tc>
      </w:tr>
      <w:tr w:rsidR="000A591E" w:rsidRPr="00321EB5" w14:paraId="2C203EA4" w14:textId="77777777" w:rsidTr="004E4D64">
        <w:trPr>
          <w:jc w:val="center"/>
        </w:trPr>
        <w:tc>
          <w:tcPr>
            <w:tcW w:w="4794" w:type="dxa"/>
          </w:tcPr>
          <w:p w14:paraId="141DDDCE"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Affaires enregistrées</w:t>
            </w:r>
          </w:p>
        </w:tc>
        <w:tc>
          <w:tcPr>
            <w:tcW w:w="4200" w:type="dxa"/>
          </w:tcPr>
          <w:p w14:paraId="58D2DAC9"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r w:rsidR="00F9554F" w:rsidRPr="00321EB5">
              <w:rPr>
                <w:rStyle w:val="Accentuation"/>
                <w:rFonts w:asciiTheme="minorHAnsi" w:hAnsiTheme="minorHAnsi" w:cstheme="minorHAnsi"/>
                <w:sz w:val="22"/>
                <w:szCs w:val="22"/>
              </w:rPr>
              <w:t>0</w:t>
            </w:r>
          </w:p>
        </w:tc>
      </w:tr>
      <w:tr w:rsidR="000A591E" w:rsidRPr="00321EB5" w14:paraId="5E50A780" w14:textId="77777777" w:rsidTr="004E4D64">
        <w:trPr>
          <w:jc w:val="center"/>
        </w:trPr>
        <w:tc>
          <w:tcPr>
            <w:tcW w:w="4794" w:type="dxa"/>
          </w:tcPr>
          <w:p w14:paraId="6C0FE973"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Nombre de prévenus</w:t>
            </w:r>
          </w:p>
        </w:tc>
        <w:tc>
          <w:tcPr>
            <w:tcW w:w="4200" w:type="dxa"/>
          </w:tcPr>
          <w:p w14:paraId="397BD2BE" w14:textId="77777777" w:rsidR="000A591E" w:rsidRPr="00321EB5" w:rsidRDefault="00F9554F"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00</w:t>
            </w:r>
          </w:p>
        </w:tc>
      </w:tr>
    </w:tbl>
    <w:p w14:paraId="5736C997" w14:textId="77777777" w:rsidR="000A591E" w:rsidRPr="00321EB5" w:rsidRDefault="000A591E" w:rsidP="000A591E">
      <w:pPr>
        <w:jc w:val="both"/>
        <w:rPr>
          <w:rStyle w:val="Accentuation"/>
          <w:rFonts w:asciiTheme="minorHAnsi" w:hAnsiTheme="minorHAnsi" w:cstheme="minorHAnsi"/>
          <w:i w:val="0"/>
          <w:sz w:val="22"/>
          <w:szCs w:val="22"/>
        </w:rPr>
      </w:pPr>
    </w:p>
    <w:p w14:paraId="6BE09BDD" w14:textId="7001CA50" w:rsidR="00E36C29" w:rsidRPr="00321EB5" w:rsidRDefault="00210DD6" w:rsidP="000A591E">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 xml:space="preserve">Le département juridique RALFF (ALEFI) n’a déféré aucune procédure en ce mois </w:t>
      </w:r>
      <w:r w:rsidR="00BA5AED" w:rsidRPr="00321EB5">
        <w:rPr>
          <w:rStyle w:val="Accentuation"/>
          <w:rFonts w:asciiTheme="minorHAnsi" w:hAnsiTheme="minorHAnsi" w:cstheme="minorHAnsi"/>
          <w:i w:val="0"/>
          <w:sz w:val="22"/>
          <w:szCs w:val="22"/>
        </w:rPr>
        <w:t xml:space="preserve">de </w:t>
      </w:r>
      <w:r w:rsidR="00370365">
        <w:rPr>
          <w:rStyle w:val="Accentuation"/>
          <w:rFonts w:asciiTheme="minorHAnsi" w:hAnsiTheme="minorHAnsi" w:cstheme="minorHAnsi"/>
          <w:i w:val="0"/>
          <w:sz w:val="22"/>
          <w:szCs w:val="22"/>
        </w:rPr>
        <w:t xml:space="preserve">juin </w:t>
      </w:r>
      <w:r w:rsidRPr="00321EB5">
        <w:rPr>
          <w:rStyle w:val="Accentuation"/>
          <w:rFonts w:asciiTheme="minorHAnsi" w:hAnsiTheme="minorHAnsi" w:cstheme="minorHAnsi"/>
          <w:i w:val="0"/>
          <w:sz w:val="22"/>
          <w:szCs w:val="22"/>
        </w:rPr>
        <w:t>202</w:t>
      </w:r>
      <w:r w:rsidR="00370365">
        <w:rPr>
          <w:rStyle w:val="Accentuation"/>
          <w:rFonts w:asciiTheme="minorHAnsi" w:hAnsiTheme="minorHAnsi" w:cstheme="minorHAnsi"/>
          <w:i w:val="0"/>
          <w:sz w:val="22"/>
          <w:szCs w:val="22"/>
        </w:rPr>
        <w:t>1</w:t>
      </w:r>
      <w:r w:rsidR="00C42DC1" w:rsidRPr="00321EB5">
        <w:rPr>
          <w:rStyle w:val="Accentuation"/>
          <w:rFonts w:asciiTheme="minorHAnsi" w:hAnsiTheme="minorHAnsi" w:cstheme="minorHAnsi"/>
          <w:i w:val="0"/>
          <w:sz w:val="22"/>
          <w:szCs w:val="22"/>
        </w:rPr>
        <w:t xml:space="preserve">. </w:t>
      </w:r>
      <w:r w:rsidR="00370365">
        <w:rPr>
          <w:rStyle w:val="Accentuation"/>
          <w:rFonts w:asciiTheme="minorHAnsi" w:hAnsiTheme="minorHAnsi" w:cstheme="minorHAnsi"/>
          <w:i w:val="0"/>
          <w:sz w:val="22"/>
          <w:szCs w:val="22"/>
        </w:rPr>
        <w:t>L</w:t>
      </w:r>
      <w:r w:rsidR="00C42DC1" w:rsidRPr="00321EB5">
        <w:rPr>
          <w:rStyle w:val="Accentuation"/>
          <w:rFonts w:asciiTheme="minorHAnsi" w:hAnsiTheme="minorHAnsi" w:cstheme="minorHAnsi"/>
          <w:i w:val="0"/>
          <w:sz w:val="22"/>
          <w:szCs w:val="22"/>
        </w:rPr>
        <w:t xml:space="preserve">es deux affaires, KHLL et SUNRY GABON sont toujours </w:t>
      </w:r>
      <w:r w:rsidR="00370365">
        <w:rPr>
          <w:rStyle w:val="Accentuation"/>
          <w:rFonts w:asciiTheme="minorHAnsi" w:hAnsiTheme="minorHAnsi" w:cstheme="minorHAnsi"/>
          <w:i w:val="0"/>
          <w:sz w:val="22"/>
          <w:szCs w:val="22"/>
        </w:rPr>
        <w:t>en cours.</w:t>
      </w:r>
    </w:p>
    <w:p w14:paraId="22C870B6" w14:textId="77777777" w:rsidR="00EC0804" w:rsidRPr="00321EB5" w:rsidRDefault="00EC0804" w:rsidP="000A591E">
      <w:pPr>
        <w:jc w:val="both"/>
        <w:rPr>
          <w:rStyle w:val="Accentuation"/>
          <w:rFonts w:asciiTheme="minorHAnsi" w:hAnsiTheme="minorHAnsi" w:cstheme="minorHAnsi"/>
          <w:i w:val="0"/>
          <w:sz w:val="22"/>
          <w:szCs w:val="22"/>
        </w:rPr>
      </w:pPr>
    </w:p>
    <w:p w14:paraId="7E98C0AB" w14:textId="77777777" w:rsidR="000A591E" w:rsidRPr="00321EB5" w:rsidRDefault="000A591E" w:rsidP="000A591E">
      <w:pPr>
        <w:jc w:val="both"/>
        <w:rPr>
          <w:rStyle w:val="Accentuation"/>
          <w:rFonts w:asciiTheme="minorHAnsi" w:hAnsiTheme="minorHAnsi" w:cstheme="minorHAnsi"/>
          <w:b/>
          <w:i w:val="0"/>
          <w:sz w:val="22"/>
          <w:szCs w:val="22"/>
        </w:rPr>
      </w:pPr>
      <w:r w:rsidRPr="00321EB5">
        <w:rPr>
          <w:rStyle w:val="Accentuation"/>
          <w:rFonts w:asciiTheme="minorHAnsi" w:hAnsiTheme="minorHAnsi" w:cstheme="minorHAnsi"/>
          <w:b/>
          <w:i w:val="0"/>
          <w:sz w:val="22"/>
          <w:szCs w:val="22"/>
        </w:rPr>
        <w:t>4.2. Visites de prison</w:t>
      </w:r>
    </w:p>
    <w:p w14:paraId="4524560F" w14:textId="77777777" w:rsidR="000A591E" w:rsidRPr="00321EB5" w:rsidRDefault="000A591E" w:rsidP="000A591E">
      <w:pPr>
        <w:jc w:val="both"/>
        <w:rPr>
          <w:rStyle w:val="Accentuation"/>
          <w:rFonts w:asciiTheme="minorHAnsi" w:hAnsiTheme="minorHAnsi" w:cstheme="minorHAnsi"/>
          <w:i w:val="0"/>
          <w:sz w:val="22"/>
          <w:szCs w:val="22"/>
        </w:rPr>
      </w:pPr>
    </w:p>
    <w:p w14:paraId="1E0653B2" w14:textId="77777777" w:rsidR="000A591E" w:rsidRPr="00321EB5" w:rsidRDefault="000A591E" w:rsidP="000A591E">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Indicateurs :</w:t>
      </w:r>
    </w:p>
    <w:p w14:paraId="73C589C2" w14:textId="77777777" w:rsidR="000A591E" w:rsidRPr="00321EB5"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321EB5" w14:paraId="70BAD658" w14:textId="77777777" w:rsidTr="004E4D64">
        <w:trPr>
          <w:trHeight w:val="262"/>
        </w:trPr>
        <w:tc>
          <w:tcPr>
            <w:tcW w:w="4928" w:type="dxa"/>
          </w:tcPr>
          <w:p w14:paraId="7C42DD38"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lastRenderedPageBreak/>
              <w:t xml:space="preserve">Nombre de visites effectuées </w:t>
            </w:r>
          </w:p>
        </w:tc>
        <w:tc>
          <w:tcPr>
            <w:tcW w:w="4280" w:type="dxa"/>
          </w:tcPr>
          <w:p w14:paraId="2C2DB664"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p>
        </w:tc>
      </w:tr>
      <w:tr w:rsidR="000A591E" w:rsidRPr="00321EB5" w14:paraId="3B61E7BD" w14:textId="77777777" w:rsidTr="004E4D64">
        <w:trPr>
          <w:trHeight w:val="262"/>
        </w:trPr>
        <w:tc>
          <w:tcPr>
            <w:tcW w:w="4928" w:type="dxa"/>
          </w:tcPr>
          <w:p w14:paraId="4ABDDAC4"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Nombre de détenus rencontrés</w:t>
            </w:r>
          </w:p>
        </w:tc>
        <w:tc>
          <w:tcPr>
            <w:tcW w:w="4280" w:type="dxa"/>
          </w:tcPr>
          <w:p w14:paraId="707E6126"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p>
        </w:tc>
      </w:tr>
    </w:tbl>
    <w:p w14:paraId="36041E18" w14:textId="77777777" w:rsidR="002A0006" w:rsidRPr="00321EB5" w:rsidRDefault="002A0006" w:rsidP="002A0006">
      <w:pPr>
        <w:jc w:val="both"/>
        <w:rPr>
          <w:rStyle w:val="Accentuation"/>
          <w:rFonts w:asciiTheme="minorHAnsi" w:hAnsiTheme="minorHAnsi" w:cstheme="minorHAnsi"/>
          <w:i w:val="0"/>
          <w:sz w:val="22"/>
          <w:szCs w:val="22"/>
        </w:rPr>
      </w:pPr>
    </w:p>
    <w:p w14:paraId="57034FCA" w14:textId="20541BB2" w:rsidR="00BA5AED" w:rsidRPr="00321EB5" w:rsidRDefault="00BA5AED" w:rsidP="00BA5AED">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N’ayant aucun suspect ou condamné en détention pour exploitation forestière illégale, aucune visite de prison n’a donc eu lieu</w:t>
      </w:r>
      <w:r w:rsidR="00E303EB">
        <w:rPr>
          <w:rStyle w:val="Accentuation"/>
          <w:rFonts w:asciiTheme="minorHAnsi" w:hAnsiTheme="minorHAnsi" w:cstheme="minorHAnsi"/>
          <w:i w:val="0"/>
          <w:sz w:val="22"/>
          <w:szCs w:val="22"/>
        </w:rPr>
        <w:t>.</w:t>
      </w:r>
    </w:p>
    <w:p w14:paraId="3518E6C1" w14:textId="77777777" w:rsidR="000A591E" w:rsidRPr="00321EB5" w:rsidRDefault="000A591E" w:rsidP="000A591E">
      <w:pPr>
        <w:jc w:val="both"/>
        <w:rPr>
          <w:rStyle w:val="Accentuation"/>
          <w:rFonts w:asciiTheme="minorHAnsi" w:hAnsiTheme="minorHAnsi" w:cstheme="minorHAnsi"/>
          <w:i w:val="0"/>
          <w:sz w:val="22"/>
          <w:szCs w:val="22"/>
        </w:rPr>
      </w:pPr>
    </w:p>
    <w:p w14:paraId="175942F2" w14:textId="77777777" w:rsidR="000A591E" w:rsidRPr="00321EB5" w:rsidRDefault="000A591E" w:rsidP="000A591E">
      <w:pPr>
        <w:jc w:val="both"/>
        <w:rPr>
          <w:rStyle w:val="Accentuation"/>
          <w:rFonts w:asciiTheme="minorHAnsi" w:hAnsiTheme="minorHAnsi" w:cstheme="minorHAnsi"/>
          <w:b/>
          <w:i w:val="0"/>
          <w:sz w:val="22"/>
          <w:szCs w:val="22"/>
        </w:rPr>
      </w:pPr>
      <w:r w:rsidRPr="00321EB5">
        <w:rPr>
          <w:rStyle w:val="Accentuation"/>
          <w:rFonts w:asciiTheme="minorHAnsi" w:hAnsiTheme="minorHAnsi" w:cstheme="minorHAnsi"/>
          <w:b/>
          <w:i w:val="0"/>
          <w:sz w:val="22"/>
          <w:szCs w:val="22"/>
        </w:rPr>
        <w:t>4.3 Formations</w:t>
      </w:r>
    </w:p>
    <w:p w14:paraId="566A06AB" w14:textId="77777777" w:rsidR="000A591E" w:rsidRPr="00321EB5" w:rsidRDefault="000A591E" w:rsidP="000A591E">
      <w:pPr>
        <w:jc w:val="both"/>
        <w:rPr>
          <w:rStyle w:val="Accentuation"/>
          <w:rFonts w:asciiTheme="minorHAnsi" w:hAnsiTheme="minorHAnsi" w:cstheme="minorHAnsi"/>
          <w:b/>
          <w:i w:val="0"/>
          <w:sz w:val="22"/>
          <w:szCs w:val="22"/>
        </w:rPr>
      </w:pPr>
    </w:p>
    <w:p w14:paraId="3C8EB646" w14:textId="77777777" w:rsidR="000A591E" w:rsidRPr="005C3886" w:rsidRDefault="000A591E" w:rsidP="000A591E">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Il n’y a pas eu de formation liée au projet RA</w:t>
      </w:r>
      <w:r w:rsidR="000337DB" w:rsidRPr="00321EB5">
        <w:rPr>
          <w:rStyle w:val="Accentuation"/>
          <w:rFonts w:asciiTheme="minorHAnsi" w:hAnsiTheme="minorHAnsi" w:cstheme="minorHAnsi"/>
          <w:i w:val="0"/>
          <w:sz w:val="22"/>
          <w:szCs w:val="22"/>
        </w:rPr>
        <w:t>LFF (ALEFI) au cours de ce mois</w:t>
      </w:r>
      <w:r w:rsidRPr="00321EB5">
        <w:rPr>
          <w:rStyle w:val="Accentuation"/>
          <w:rFonts w:asciiTheme="minorHAnsi" w:hAnsiTheme="minorHAnsi" w:cstheme="minorHAnsi"/>
          <w:i w:val="0"/>
          <w:sz w:val="22"/>
          <w:szCs w:val="22"/>
        </w:rPr>
        <w:t>.</w:t>
      </w:r>
    </w:p>
    <w:p w14:paraId="49F36156" w14:textId="77777777" w:rsidR="000A591E" w:rsidRPr="005C3886" w:rsidRDefault="000A591E" w:rsidP="000A591E">
      <w:pPr>
        <w:jc w:val="both"/>
        <w:rPr>
          <w:rFonts w:asciiTheme="minorHAnsi" w:hAnsiTheme="minorHAnsi" w:cstheme="minorHAnsi"/>
          <w:b/>
          <w:sz w:val="22"/>
          <w:szCs w:val="22"/>
          <w:u w:val="single"/>
        </w:rPr>
      </w:pPr>
    </w:p>
    <w:p w14:paraId="18EA0C24" w14:textId="77777777" w:rsidR="000A591E" w:rsidRPr="005C3886" w:rsidRDefault="000A591E" w:rsidP="000A591E">
      <w:pPr>
        <w:pStyle w:val="Titre1"/>
        <w:rPr>
          <w:rStyle w:val="Accentuation"/>
          <w:iCs w:val="0"/>
        </w:rPr>
      </w:pPr>
      <w:r w:rsidRPr="005C3886">
        <w:rPr>
          <w:rStyle w:val="Accentuation"/>
          <w:iCs w:val="0"/>
        </w:rPr>
        <w:t>5. Missions</w:t>
      </w:r>
    </w:p>
    <w:p w14:paraId="65E08A22" w14:textId="77777777" w:rsidR="00BE3C9A" w:rsidRPr="005C3886" w:rsidRDefault="00BE3C9A" w:rsidP="000A591E">
      <w:pPr>
        <w:jc w:val="both"/>
        <w:rPr>
          <w:rFonts w:asciiTheme="minorHAnsi" w:hAnsiTheme="minorHAnsi" w:cstheme="minorHAnsi"/>
          <w:sz w:val="22"/>
          <w:szCs w:val="22"/>
        </w:rPr>
      </w:pPr>
    </w:p>
    <w:p w14:paraId="5DC35D54" w14:textId="04194B63" w:rsidR="00893C78" w:rsidRPr="00893C78" w:rsidRDefault="005419D8" w:rsidP="00893C78">
      <w:pPr>
        <w:rPr>
          <w:rStyle w:val="Accentuation"/>
          <w:rFonts w:asciiTheme="minorHAnsi" w:hAnsiTheme="minorHAnsi" w:cstheme="minorHAnsi"/>
          <w:b/>
          <w:bCs/>
          <w:i w:val="0"/>
          <w:iCs w:val="0"/>
          <w:sz w:val="20"/>
          <w:szCs w:val="20"/>
          <w:lang w:bidi="he-IL"/>
        </w:rPr>
      </w:pPr>
      <w:r w:rsidRPr="00893C78">
        <w:rPr>
          <w:rFonts w:asciiTheme="minorHAnsi" w:hAnsiTheme="minorHAnsi" w:cstheme="minorHAnsi"/>
          <w:sz w:val="22"/>
          <w:szCs w:val="22"/>
        </w:rPr>
        <w:t xml:space="preserve">Au total ce mois-ci, </w:t>
      </w:r>
      <w:r w:rsidR="00FC31F9" w:rsidRPr="00893C78">
        <w:rPr>
          <w:rFonts w:asciiTheme="minorHAnsi" w:hAnsiTheme="minorHAnsi" w:cstheme="minorHAnsi"/>
          <w:sz w:val="22"/>
          <w:szCs w:val="22"/>
        </w:rPr>
        <w:t>13</w:t>
      </w:r>
      <w:r w:rsidRPr="00893C78">
        <w:rPr>
          <w:rFonts w:asciiTheme="minorHAnsi" w:hAnsiTheme="minorHAnsi" w:cstheme="minorHAnsi"/>
          <w:sz w:val="22"/>
          <w:szCs w:val="22"/>
        </w:rPr>
        <w:t xml:space="preserve"> villages ont été visités par l</w:t>
      </w:r>
      <w:r w:rsidR="00893C78" w:rsidRPr="00893C78">
        <w:rPr>
          <w:rFonts w:asciiTheme="minorHAnsi" w:hAnsiTheme="minorHAnsi" w:cstheme="minorHAnsi"/>
          <w:sz w:val="22"/>
          <w:szCs w:val="22"/>
        </w:rPr>
        <w:t>’</w:t>
      </w:r>
      <w:r w:rsidRPr="00893C78">
        <w:rPr>
          <w:rFonts w:asciiTheme="minorHAnsi" w:hAnsiTheme="minorHAnsi" w:cstheme="minorHAnsi"/>
          <w:sz w:val="22"/>
          <w:szCs w:val="22"/>
        </w:rPr>
        <w:t>équipe sociale</w:t>
      </w:r>
      <w:r w:rsidR="00893C78" w:rsidRPr="00893C78">
        <w:rPr>
          <w:rFonts w:asciiTheme="minorHAnsi" w:hAnsiTheme="minorHAnsi" w:cstheme="minorHAnsi"/>
          <w:sz w:val="22"/>
          <w:szCs w:val="22"/>
        </w:rPr>
        <w:t xml:space="preserve"> de Brainforest d</w:t>
      </w:r>
      <w:r w:rsidR="00893C78" w:rsidRPr="00893C78">
        <w:rPr>
          <w:rFonts w:asciiTheme="minorHAnsi" w:hAnsiTheme="minorHAnsi" w:cstheme="minorHAnsi"/>
          <w:sz w:val="22"/>
          <w:szCs w:val="22"/>
        </w:rPr>
        <w:t>ans le département de la Lopé (Booué). Il s’agit des regroupements de Balem-Inzanza, Mbadi 1 et 2, Akoba 1 et 2, Koumameyong-Ekarlong, Lolo 1 et 2, et des villages Lassio, Mangoumba, Djidji, Abenelang, Poteau-Ciment, Akiguilam, Balimba et Mangoumba.</w:t>
      </w:r>
    </w:p>
    <w:p w14:paraId="00220C14" w14:textId="2AE04605" w:rsidR="0011588E" w:rsidRPr="00893C78" w:rsidRDefault="0011588E" w:rsidP="0011588E">
      <w:pPr>
        <w:pStyle w:val="Sansinterligne"/>
        <w:rPr>
          <w:lang w:val="fr-BE"/>
        </w:rPr>
      </w:pPr>
    </w:p>
    <w:p w14:paraId="2BEEA616" w14:textId="77777777" w:rsidR="00893C78" w:rsidRPr="000D2D7C" w:rsidRDefault="00893C78" w:rsidP="00893C78">
      <w:pPr>
        <w:pStyle w:val="Paragraphedeliste"/>
        <w:numPr>
          <w:ilvl w:val="0"/>
          <w:numId w:val="30"/>
        </w:numPr>
        <w:jc w:val="both"/>
        <w:rPr>
          <w:rFonts w:asciiTheme="minorHAnsi" w:hAnsiTheme="minorHAnsi" w:cstheme="minorHAnsi"/>
          <w:sz w:val="22"/>
          <w:szCs w:val="22"/>
        </w:rPr>
      </w:pPr>
      <w:r w:rsidRPr="00381EF8">
        <w:rPr>
          <w:rFonts w:asciiTheme="minorHAnsi" w:hAnsiTheme="minorHAnsi" w:cstheme="minorHAnsi"/>
          <w:b/>
          <w:bCs/>
          <w:sz w:val="22"/>
          <w:szCs w:val="22"/>
          <w:u w:val="single"/>
        </w:rPr>
        <w:t xml:space="preserve">Du </w:t>
      </w:r>
      <w:r>
        <w:rPr>
          <w:rFonts w:asciiTheme="minorHAnsi" w:hAnsiTheme="minorHAnsi" w:cstheme="minorHAnsi"/>
          <w:b/>
          <w:bCs/>
          <w:sz w:val="22"/>
          <w:szCs w:val="22"/>
          <w:u w:val="single"/>
        </w:rPr>
        <w:t>28/06/2021 au 08/07/2021</w:t>
      </w:r>
      <w:r>
        <w:rPr>
          <w:rFonts w:asciiTheme="minorHAnsi" w:hAnsiTheme="minorHAnsi" w:cstheme="minorHAnsi"/>
          <w:sz w:val="22"/>
          <w:szCs w:val="22"/>
        </w:rPr>
        <w:t>, une mission sociale a été conduite par Brainforest dans la province de l’Ogooué Ivindo</w:t>
      </w:r>
    </w:p>
    <w:p w14:paraId="671F8336" w14:textId="35360813" w:rsidR="005419D8" w:rsidRPr="00893C78" w:rsidRDefault="005419D8" w:rsidP="005419D8">
      <w:pPr>
        <w:pStyle w:val="Sansinterligne"/>
        <w:rPr>
          <w:lang w:val="fr-BE"/>
        </w:rPr>
      </w:pPr>
    </w:p>
    <w:p w14:paraId="068B792E" w14:textId="11127FFA" w:rsidR="005419D8" w:rsidRPr="005419D8" w:rsidRDefault="005419D8" w:rsidP="005419D8">
      <w:pPr>
        <w:rPr>
          <w:lang w:val="fr-FR"/>
        </w:rPr>
      </w:pPr>
    </w:p>
    <w:p w14:paraId="1D82ACD9" w14:textId="2ACF7EA8" w:rsidR="008D0417" w:rsidRPr="005C3886" w:rsidRDefault="00AB288E" w:rsidP="008D0417">
      <w:pPr>
        <w:pStyle w:val="Paragraphedeliste"/>
        <w:numPr>
          <w:ilvl w:val="0"/>
          <w:numId w:val="43"/>
        </w:numPr>
        <w:jc w:val="both"/>
        <w:rPr>
          <w:rFonts w:asciiTheme="minorHAnsi" w:hAnsiTheme="minorHAnsi" w:cstheme="minorHAnsi"/>
          <w:b/>
          <w:sz w:val="22"/>
          <w:szCs w:val="22"/>
        </w:rPr>
      </w:pPr>
      <w:r w:rsidRPr="005419D8">
        <w:rPr>
          <w:rFonts w:asciiTheme="minorHAnsi" w:hAnsiTheme="minorHAnsi" w:cstheme="minorHAnsi"/>
          <w:b/>
          <w:sz w:val="22"/>
          <w:szCs w:val="22"/>
          <w:lang w:val="fr-FR"/>
        </w:rPr>
        <w:t xml:space="preserve"> </w:t>
      </w:r>
      <w:r>
        <w:rPr>
          <w:rFonts w:asciiTheme="minorHAnsi" w:hAnsiTheme="minorHAnsi" w:cstheme="minorHAnsi"/>
          <w:b/>
          <w:sz w:val="22"/>
          <w:szCs w:val="22"/>
        </w:rPr>
        <w:t>Mission</w:t>
      </w:r>
      <w:r w:rsidR="00E15FA8">
        <w:rPr>
          <w:rFonts w:asciiTheme="minorHAnsi" w:hAnsiTheme="minorHAnsi" w:cstheme="minorHAnsi"/>
          <w:b/>
          <w:sz w:val="22"/>
          <w:szCs w:val="22"/>
        </w:rPr>
        <w:t xml:space="preserve"> </w:t>
      </w:r>
      <w:r w:rsidR="00C3546B">
        <w:rPr>
          <w:rFonts w:asciiTheme="minorHAnsi" w:hAnsiTheme="minorHAnsi" w:cstheme="minorHAnsi"/>
          <w:b/>
          <w:sz w:val="22"/>
          <w:szCs w:val="22"/>
        </w:rPr>
        <w:t>dans l</w:t>
      </w:r>
      <w:r w:rsidR="00893C78">
        <w:rPr>
          <w:rFonts w:asciiTheme="minorHAnsi" w:hAnsiTheme="minorHAnsi" w:cstheme="minorHAnsi"/>
          <w:b/>
          <w:sz w:val="22"/>
          <w:szCs w:val="22"/>
        </w:rPr>
        <w:t>a</w:t>
      </w:r>
      <w:r w:rsidR="00F151BC" w:rsidRPr="0065588F">
        <w:rPr>
          <w:rFonts w:asciiTheme="minorHAnsi" w:hAnsiTheme="minorHAnsi" w:cstheme="minorHAnsi"/>
          <w:b/>
          <w:sz w:val="22"/>
          <w:szCs w:val="22"/>
        </w:rPr>
        <w:t xml:space="preserve"> province de </w:t>
      </w:r>
      <w:r w:rsidR="00893C78">
        <w:rPr>
          <w:rFonts w:asciiTheme="minorHAnsi" w:hAnsiTheme="minorHAnsi" w:cstheme="minorHAnsi"/>
          <w:b/>
          <w:sz w:val="22"/>
          <w:szCs w:val="22"/>
        </w:rPr>
        <w:t>l’Ogooué Ivindo</w:t>
      </w:r>
      <w:r w:rsidR="0065588F" w:rsidRPr="0065588F">
        <w:rPr>
          <w:rFonts w:asciiTheme="minorHAnsi" w:hAnsiTheme="minorHAnsi" w:cstheme="minorHAnsi"/>
          <w:b/>
          <w:sz w:val="22"/>
          <w:szCs w:val="22"/>
        </w:rPr>
        <w:t xml:space="preserve"> </w:t>
      </w:r>
      <w:r w:rsidRPr="0065588F">
        <w:rPr>
          <w:rFonts w:asciiTheme="minorHAnsi" w:hAnsiTheme="minorHAnsi" w:cstheme="minorHAnsi"/>
          <w:b/>
          <w:sz w:val="22"/>
          <w:szCs w:val="22"/>
        </w:rPr>
        <w:t>du</w:t>
      </w:r>
      <w:r w:rsidR="00C3546B">
        <w:rPr>
          <w:rFonts w:asciiTheme="minorHAnsi" w:hAnsiTheme="minorHAnsi" w:cstheme="minorHAnsi"/>
          <w:b/>
          <w:sz w:val="22"/>
          <w:szCs w:val="22"/>
        </w:rPr>
        <w:t xml:space="preserve"> 2</w:t>
      </w:r>
      <w:r w:rsidR="00893C78">
        <w:rPr>
          <w:rFonts w:asciiTheme="minorHAnsi" w:hAnsiTheme="minorHAnsi" w:cstheme="minorHAnsi"/>
          <w:b/>
          <w:sz w:val="22"/>
          <w:szCs w:val="22"/>
        </w:rPr>
        <w:t>8</w:t>
      </w:r>
      <w:r w:rsidR="00C3546B">
        <w:rPr>
          <w:rFonts w:asciiTheme="minorHAnsi" w:hAnsiTheme="minorHAnsi" w:cstheme="minorHAnsi"/>
          <w:b/>
          <w:sz w:val="22"/>
          <w:szCs w:val="22"/>
        </w:rPr>
        <w:t xml:space="preserve"> </w:t>
      </w:r>
      <w:r w:rsidR="00893C78">
        <w:rPr>
          <w:rFonts w:asciiTheme="minorHAnsi" w:hAnsiTheme="minorHAnsi" w:cstheme="minorHAnsi"/>
          <w:b/>
          <w:sz w:val="22"/>
          <w:szCs w:val="22"/>
        </w:rPr>
        <w:t>juin</w:t>
      </w:r>
      <w:r w:rsidR="00B84B18">
        <w:rPr>
          <w:rFonts w:asciiTheme="minorHAnsi" w:hAnsiTheme="minorHAnsi" w:cstheme="minorHAnsi"/>
          <w:b/>
          <w:sz w:val="22"/>
          <w:szCs w:val="22"/>
        </w:rPr>
        <w:t xml:space="preserve"> au</w:t>
      </w:r>
      <w:r>
        <w:rPr>
          <w:rFonts w:asciiTheme="minorHAnsi" w:hAnsiTheme="minorHAnsi" w:cstheme="minorHAnsi"/>
          <w:b/>
          <w:sz w:val="22"/>
          <w:szCs w:val="22"/>
        </w:rPr>
        <w:t xml:space="preserve"> </w:t>
      </w:r>
      <w:r w:rsidR="00C3546B">
        <w:rPr>
          <w:rFonts w:asciiTheme="minorHAnsi" w:hAnsiTheme="minorHAnsi" w:cstheme="minorHAnsi"/>
          <w:b/>
          <w:sz w:val="22"/>
          <w:szCs w:val="22"/>
        </w:rPr>
        <w:t>0</w:t>
      </w:r>
      <w:r w:rsidR="00893C78">
        <w:rPr>
          <w:rFonts w:asciiTheme="minorHAnsi" w:hAnsiTheme="minorHAnsi" w:cstheme="minorHAnsi"/>
          <w:b/>
          <w:sz w:val="22"/>
          <w:szCs w:val="22"/>
        </w:rPr>
        <w:t>8</w:t>
      </w:r>
      <w:r w:rsidR="00C3546B">
        <w:rPr>
          <w:rFonts w:asciiTheme="minorHAnsi" w:hAnsiTheme="minorHAnsi" w:cstheme="minorHAnsi"/>
          <w:b/>
          <w:sz w:val="22"/>
          <w:szCs w:val="22"/>
        </w:rPr>
        <w:t xml:space="preserve"> jui</w:t>
      </w:r>
      <w:r w:rsidR="00893C78">
        <w:rPr>
          <w:rFonts w:asciiTheme="minorHAnsi" w:hAnsiTheme="minorHAnsi" w:cstheme="minorHAnsi"/>
          <w:b/>
          <w:sz w:val="22"/>
          <w:szCs w:val="22"/>
        </w:rPr>
        <w:t>llet</w:t>
      </w:r>
      <w:r w:rsidR="00B313D3">
        <w:rPr>
          <w:rFonts w:asciiTheme="minorHAnsi" w:hAnsiTheme="minorHAnsi" w:cstheme="minorHAnsi"/>
          <w:b/>
          <w:sz w:val="22"/>
          <w:szCs w:val="22"/>
        </w:rPr>
        <w:t xml:space="preserve"> 2021</w:t>
      </w:r>
    </w:p>
    <w:p w14:paraId="392DC2C5" w14:textId="4E1400F5" w:rsidR="008D0417" w:rsidRDefault="008D0417" w:rsidP="008D0417">
      <w:pPr>
        <w:jc w:val="both"/>
        <w:rPr>
          <w:rFonts w:asciiTheme="minorHAnsi" w:hAnsiTheme="minorHAnsi" w:cstheme="minorHAnsi"/>
          <w:b/>
          <w:sz w:val="22"/>
          <w:szCs w:val="22"/>
          <w:u w:val="single"/>
        </w:rPr>
      </w:pPr>
    </w:p>
    <w:p w14:paraId="2B95D36A" w14:textId="61873909" w:rsidR="008D0417" w:rsidRDefault="00486D78" w:rsidP="003D00D5">
      <w:pPr>
        <w:jc w:val="both"/>
        <w:rPr>
          <w:rFonts w:asciiTheme="minorHAnsi" w:hAnsiTheme="minorHAnsi" w:cstheme="minorHAnsi"/>
          <w:b/>
          <w:sz w:val="22"/>
          <w:szCs w:val="22"/>
          <w:u w:val="single"/>
        </w:rPr>
      </w:pPr>
      <w:r w:rsidRPr="00E303EB">
        <w:rPr>
          <w:rFonts w:asciiTheme="minorHAnsi" w:hAnsiTheme="minorHAnsi" w:cstheme="minorHAnsi"/>
          <w:b/>
          <w:sz w:val="22"/>
          <w:szCs w:val="22"/>
          <w:u w:val="single"/>
        </w:rPr>
        <w:t xml:space="preserve">Département de </w:t>
      </w:r>
      <w:r w:rsidR="00C8434A">
        <w:rPr>
          <w:rFonts w:asciiTheme="minorHAnsi" w:hAnsiTheme="minorHAnsi" w:cstheme="minorHAnsi"/>
          <w:b/>
          <w:sz w:val="22"/>
          <w:szCs w:val="22"/>
          <w:u w:val="single"/>
        </w:rPr>
        <w:t>la Lopé</w:t>
      </w:r>
    </w:p>
    <w:p w14:paraId="1BA40316" w14:textId="7E171D48" w:rsidR="00C8434A" w:rsidRDefault="00C8434A" w:rsidP="003D00D5">
      <w:pPr>
        <w:jc w:val="both"/>
        <w:rPr>
          <w:rFonts w:asciiTheme="minorHAnsi" w:hAnsiTheme="minorHAnsi" w:cstheme="minorHAnsi"/>
          <w:b/>
          <w:sz w:val="22"/>
          <w:szCs w:val="22"/>
          <w:u w:val="single"/>
        </w:rPr>
      </w:pPr>
    </w:p>
    <w:p w14:paraId="217F12C1" w14:textId="77777777" w:rsidR="00C8434A" w:rsidRDefault="00C8434A" w:rsidP="003D00D5">
      <w:pPr>
        <w:jc w:val="both"/>
        <w:rPr>
          <w:rStyle w:val="SansinterligneCar"/>
        </w:rPr>
      </w:pPr>
      <w:r w:rsidRPr="00C8434A">
        <w:rPr>
          <w:rStyle w:val="SansinterligneCar"/>
        </w:rPr>
        <w:t xml:space="preserve">Des rencontres et des visites in situ ont été effectuées dans les villages engagés dans le processus de partage des bénéfices et la foresterie communautaire dans le département de la Lopé (Booué). </w:t>
      </w:r>
    </w:p>
    <w:p w14:paraId="39B80BB5" w14:textId="77777777" w:rsidR="00A342FA" w:rsidRDefault="00A342FA" w:rsidP="00A342FA">
      <w:pPr>
        <w:jc w:val="both"/>
        <w:rPr>
          <w:rStyle w:val="SansinterligneCar"/>
          <w:b/>
          <w:bCs/>
        </w:rPr>
      </w:pPr>
    </w:p>
    <w:p w14:paraId="623AB3AA" w14:textId="420ABAB3" w:rsidR="00A342FA" w:rsidRPr="00A342FA" w:rsidRDefault="00A342FA" w:rsidP="00A342FA">
      <w:pPr>
        <w:jc w:val="both"/>
        <w:rPr>
          <w:rStyle w:val="SansinterligneCar"/>
        </w:rPr>
      </w:pPr>
      <w:r w:rsidRPr="00A342FA">
        <w:rPr>
          <w:rStyle w:val="SansinterligneCar"/>
          <w:b/>
          <w:bCs/>
        </w:rPr>
        <w:t>Koumameyong-Ekarlong</w:t>
      </w:r>
      <w:r>
        <w:rPr>
          <w:rStyle w:val="SansinterligneCar"/>
        </w:rPr>
        <w:t xml:space="preserve"> : </w:t>
      </w:r>
      <w:r w:rsidRPr="00A342FA">
        <w:rPr>
          <w:rStyle w:val="SansinterligneCar"/>
        </w:rPr>
        <w:t>impacté par la société CDG dont le montant du FDL s’élève à 4.354.798 FCFA. Le projet porte sur la construction d’une salle de classe. Cependant, les communautés déplorent le fait de n’avoir pas été consultées par rapport à la réalisation de ce projet. Car, selon elles, le village regorge de techniciens spécialisés dans la construction. Le village Koumameyong est aussi impacté par la société GTBB. Le fonds de développement alloué à ce village s’élève à 6.407.725 FCFA. Selon les communautés, aucun projet n’a encore été identifié.</w:t>
      </w:r>
      <w:r>
        <w:rPr>
          <w:rStyle w:val="SansinterligneCar"/>
        </w:rPr>
        <w:t xml:space="preserve"> </w:t>
      </w:r>
      <w:r w:rsidRPr="00A342FA">
        <w:rPr>
          <w:rStyle w:val="SansinterligneCar"/>
        </w:rPr>
        <w:t>De plus, le regroupement des villages Koumameyong-Ekarlong dispose d’une forêt communautaire, l’exploitation se fait en fermage.</w:t>
      </w:r>
    </w:p>
    <w:p w14:paraId="773D4539" w14:textId="77777777" w:rsidR="006A04F3" w:rsidRDefault="006A04F3" w:rsidP="006A04F3">
      <w:pPr>
        <w:pStyle w:val="Sansinterligne"/>
        <w:rPr>
          <w:b/>
          <w:bCs/>
        </w:rPr>
      </w:pPr>
    </w:p>
    <w:p w14:paraId="7BDACCF3" w14:textId="734D1E7B" w:rsidR="006A04F3" w:rsidRPr="006A04F3" w:rsidRDefault="006A04F3" w:rsidP="006A04F3">
      <w:pPr>
        <w:pStyle w:val="Sansinterligne"/>
      </w:pPr>
      <w:r w:rsidRPr="00DD22C7">
        <w:rPr>
          <w:b/>
          <w:bCs/>
        </w:rPr>
        <w:t>Djidji</w:t>
      </w:r>
      <w:r w:rsidRPr="006A04F3">
        <w:t> : le village a signé un CCC avec Rougier Gabon (FDL est de 12.541.419 FCFA). Cependant, aucun projet n’a encore été élaboré et la communauté locale a sollicité un accompagnement sur le montage des projets. Il a également signé un CCC avec GTBB, ( FDL : 11.900.005 FCFA). Le projet identifié est la réfection du dispensaire et la construction du logement du personnel soignant et est en cours de financement.</w:t>
      </w:r>
      <w:r>
        <w:t xml:space="preserve"> </w:t>
      </w:r>
      <w:r w:rsidRPr="006A04F3">
        <w:t>Concernant la forêt communautaire, elle a été mise en arrêt provisoire d’activité. À cause d’un conflit opposant les bureaux entrant et sortant de l’association.</w:t>
      </w:r>
    </w:p>
    <w:p w14:paraId="1010B383" w14:textId="4748C1F4" w:rsidR="006A04F3" w:rsidRPr="006A04F3" w:rsidRDefault="006A04F3" w:rsidP="006A04F3">
      <w:pPr>
        <w:pStyle w:val="Sansinterligne"/>
        <w:rPr>
          <w:lang w:val="fr-BE"/>
        </w:rPr>
      </w:pPr>
    </w:p>
    <w:p w14:paraId="498BCE98" w14:textId="2602CFE2" w:rsidR="00DD22C7" w:rsidRPr="00DD22C7" w:rsidRDefault="00DD22C7" w:rsidP="00DD22C7">
      <w:pPr>
        <w:jc w:val="both"/>
        <w:rPr>
          <w:rStyle w:val="SansinterligneCar"/>
          <w:b/>
          <w:bCs/>
        </w:rPr>
      </w:pPr>
      <w:r w:rsidRPr="00DD22C7">
        <w:rPr>
          <w:rStyle w:val="SansinterligneCar"/>
          <w:b/>
          <w:bCs/>
        </w:rPr>
        <w:t>Lolo 1 et 2</w:t>
      </w:r>
      <w:r>
        <w:rPr>
          <w:rStyle w:val="SansinterligneCar"/>
          <w:b/>
          <w:bCs/>
        </w:rPr>
        <w:t xml:space="preserve"> : </w:t>
      </w:r>
      <w:r>
        <w:rPr>
          <w:rStyle w:val="SansinterligneCar"/>
        </w:rPr>
        <w:t>l</w:t>
      </w:r>
      <w:r w:rsidRPr="00DD22C7">
        <w:rPr>
          <w:rStyle w:val="SansinterligneCar"/>
        </w:rPr>
        <w:t>e montant du FDL s’élève à 11 762 733.66 FCFA par village, soit un total de 23 525 467,32 FCFA. Le projet identifié par les communautés est l’électrification villageoise, mais, jusqu’à présent n’a pas toujours vu le jour</w:t>
      </w:r>
      <w:r>
        <w:rPr>
          <w:rStyle w:val="SansinterligneCar"/>
        </w:rPr>
        <w:t>.</w:t>
      </w:r>
      <w:r w:rsidR="00885474">
        <w:rPr>
          <w:rStyle w:val="SansinterligneCar"/>
        </w:rPr>
        <w:t xml:space="preserve"> L</w:t>
      </w:r>
      <w:r w:rsidR="00885474" w:rsidRPr="00885474">
        <w:rPr>
          <w:rStyle w:val="SansinterligneCar"/>
        </w:rPr>
        <w:t>es communautés ont également informé l’équipe de mission qu’elles sont engagées dans un processus de demande de forêt communautaire.</w:t>
      </w:r>
    </w:p>
    <w:p w14:paraId="11E2FEFA" w14:textId="77777777" w:rsidR="006A04F3" w:rsidRPr="006A04F3" w:rsidRDefault="006A04F3" w:rsidP="006A04F3">
      <w:pPr>
        <w:pStyle w:val="Sansinterligne"/>
      </w:pPr>
    </w:p>
    <w:p w14:paraId="64D05166" w14:textId="6AF0425B" w:rsidR="00C8434A" w:rsidRDefault="00C8434A" w:rsidP="003D00D5">
      <w:pPr>
        <w:jc w:val="both"/>
        <w:rPr>
          <w:rStyle w:val="SansinterligneCar"/>
        </w:rPr>
      </w:pPr>
      <w:r w:rsidRPr="00885474">
        <w:rPr>
          <w:rStyle w:val="SansinterligneCar"/>
          <w:b/>
          <w:bCs/>
        </w:rPr>
        <w:lastRenderedPageBreak/>
        <w:t>Balem-Inzanza</w:t>
      </w:r>
      <w:r w:rsidR="00885474">
        <w:rPr>
          <w:rStyle w:val="SansinterligneCar"/>
        </w:rPr>
        <w:t xml:space="preserve"> : </w:t>
      </w:r>
      <w:r w:rsidR="00885474" w:rsidRPr="00885474">
        <w:rPr>
          <w:rStyle w:val="SansinterligneCar"/>
        </w:rPr>
        <w:t>Ce regroupement de villages détient une forêt communautaire depuis 2017. Son exploitation se faisait en fermage par une société chinoise, elle a été suspendue en 2019.</w:t>
      </w:r>
    </w:p>
    <w:p w14:paraId="1E2E8210" w14:textId="794073F4" w:rsidR="00885474" w:rsidRDefault="00885474" w:rsidP="003D00D5">
      <w:pPr>
        <w:jc w:val="both"/>
        <w:rPr>
          <w:rStyle w:val="SansinterligneCar"/>
        </w:rPr>
      </w:pPr>
    </w:p>
    <w:p w14:paraId="38AD572B" w14:textId="28B60763" w:rsidR="00885474" w:rsidRDefault="00885474" w:rsidP="003D00D5">
      <w:pPr>
        <w:jc w:val="both"/>
        <w:rPr>
          <w:rStyle w:val="SansinterligneCar"/>
        </w:rPr>
      </w:pPr>
      <w:r w:rsidRPr="00885474">
        <w:rPr>
          <w:rStyle w:val="SansinterligneCar"/>
          <w:b/>
          <w:bCs/>
        </w:rPr>
        <w:t>Akiguilam</w:t>
      </w:r>
      <w:r>
        <w:rPr>
          <w:rFonts w:ascii="Calibri Light" w:hAnsi="Calibri Light" w:cs="Calibri Light"/>
        </w:rPr>
        <w:t xml:space="preserve"> : </w:t>
      </w:r>
      <w:r w:rsidRPr="00885474">
        <w:rPr>
          <w:rStyle w:val="SansinterligneCar"/>
        </w:rPr>
        <w:t xml:space="preserve">impacté par la société SFBT, </w:t>
      </w:r>
      <w:r>
        <w:rPr>
          <w:rStyle w:val="SansinterligneCar"/>
        </w:rPr>
        <w:t>l</w:t>
      </w:r>
      <w:r w:rsidRPr="00885474">
        <w:rPr>
          <w:rStyle w:val="SansinterligneCar"/>
        </w:rPr>
        <w:t xml:space="preserve">e FDL s’élève à 5.544.097 FCFA. </w:t>
      </w:r>
      <w:r>
        <w:rPr>
          <w:rStyle w:val="SansinterligneCar"/>
        </w:rPr>
        <w:t>Selon l</w:t>
      </w:r>
      <w:r w:rsidRPr="00885474">
        <w:rPr>
          <w:rStyle w:val="SansinterligneCar"/>
        </w:rPr>
        <w:t>es communautés résidant au village</w:t>
      </w:r>
      <w:r>
        <w:rPr>
          <w:rStyle w:val="SansinterligneCar"/>
        </w:rPr>
        <w:t xml:space="preserve">, </w:t>
      </w:r>
      <w:r w:rsidRPr="00885474">
        <w:rPr>
          <w:rStyle w:val="SansinterligneCar"/>
        </w:rPr>
        <w:t>tout serait géré par une partie de la communauté vivant à Booué. De ce fait, le projet d’hydraulique villageoise est en arrêt depuis six (6) mois car le même entrepreneur a plus de quatre chantiers dans les villages avoisinants. Ce projet a été identifié par le CGSP sans la participation de la communauté vivant à Akiguilam qui, elle, a plutôt exprimé le besoin d’être fournie en électricité. Un montant de 1 million serait ajouté à l’entrepreneur pour la suite des travaux</w:t>
      </w:r>
      <w:r>
        <w:rPr>
          <w:rStyle w:val="SansinterligneCar"/>
        </w:rPr>
        <w:t xml:space="preserve"> par </w:t>
      </w:r>
      <w:r w:rsidRPr="00885474">
        <w:rPr>
          <w:rStyle w:val="SansinterligneCar"/>
        </w:rPr>
        <w:t>la société CDG</w:t>
      </w:r>
      <w:r>
        <w:rPr>
          <w:rStyle w:val="SansinterligneCar"/>
        </w:rPr>
        <w:t>.</w:t>
      </w:r>
    </w:p>
    <w:p w14:paraId="6A462EAA" w14:textId="77777777" w:rsidR="00CD02EC" w:rsidRPr="00885474" w:rsidRDefault="00CD02EC" w:rsidP="003D00D5">
      <w:pPr>
        <w:jc w:val="both"/>
        <w:rPr>
          <w:rStyle w:val="SansinterligneCar"/>
        </w:rPr>
      </w:pPr>
    </w:p>
    <w:p w14:paraId="74737AFE" w14:textId="5AE12FE6" w:rsidR="0048023C" w:rsidRDefault="00F07143" w:rsidP="00CD02EC">
      <w:pPr>
        <w:spacing w:before="240"/>
        <w:contextualSpacing/>
        <w:jc w:val="both"/>
        <w:rPr>
          <w:rStyle w:val="SansinterligneCar"/>
        </w:rPr>
      </w:pPr>
      <w:r w:rsidRPr="00F07143">
        <w:rPr>
          <w:rStyle w:val="SansinterligneCar"/>
          <w:b/>
          <w:bCs/>
        </w:rPr>
        <w:t>Akoba 1 et 2</w:t>
      </w:r>
      <w:r>
        <w:rPr>
          <w:rStyle w:val="SansinterligneCar"/>
        </w:rPr>
        <w:t xml:space="preserve"> : </w:t>
      </w:r>
      <w:r w:rsidR="0048023C">
        <w:rPr>
          <w:rStyle w:val="SansinterligneCar"/>
        </w:rPr>
        <w:t>Le r</w:t>
      </w:r>
      <w:r w:rsidR="0048023C" w:rsidRPr="0048023C">
        <w:rPr>
          <w:rStyle w:val="SansinterligneCar"/>
        </w:rPr>
        <w:t>egroupement Akoba 1 et 2</w:t>
      </w:r>
      <w:r w:rsidR="0048023C">
        <w:rPr>
          <w:rStyle w:val="SansinterligneCar"/>
        </w:rPr>
        <w:t xml:space="preserve"> est </w:t>
      </w:r>
      <w:r w:rsidR="0048023C" w:rsidRPr="0048023C">
        <w:rPr>
          <w:rStyle w:val="SansinterligneCar"/>
        </w:rPr>
        <w:t xml:space="preserve">détenteur d’une Forêt Communautaire depuis 2017. Cette dernière est actuellement exploitée en fermage. Entre autres projets financés par les revenus issus de </w:t>
      </w:r>
      <w:r w:rsidR="0048023C">
        <w:rPr>
          <w:rStyle w:val="SansinterligneCar"/>
        </w:rPr>
        <w:t xml:space="preserve">cette </w:t>
      </w:r>
      <w:r w:rsidR="0048023C" w:rsidRPr="0048023C">
        <w:rPr>
          <w:rStyle w:val="SansinterligneCar"/>
        </w:rPr>
        <w:t xml:space="preserve">exploitation, les communautés ont opté pour la construction de 15 maisons et à ce jour, 5 maisons ont été livrées. </w:t>
      </w:r>
      <w:r w:rsidR="0048023C">
        <w:rPr>
          <w:rStyle w:val="SansinterligneCar"/>
        </w:rPr>
        <w:t xml:space="preserve">Cependant, les communautés rencontrent quelques problèmes, notamment avec </w:t>
      </w:r>
      <w:r w:rsidR="0048023C" w:rsidRPr="0048023C">
        <w:rPr>
          <w:rStyle w:val="SansinterligneCar"/>
        </w:rPr>
        <w:t>la société CDG</w:t>
      </w:r>
      <w:r w:rsidR="0048023C" w:rsidRPr="0048023C">
        <w:rPr>
          <w:rStyle w:val="SansinterligneCar"/>
        </w:rPr>
        <w:t xml:space="preserve"> qui</w:t>
      </w:r>
      <w:r w:rsidR="0048023C" w:rsidRPr="0048023C">
        <w:rPr>
          <w:rStyle w:val="SansinterligneCar"/>
        </w:rPr>
        <w:t xml:space="preserve"> dénonce la non-matérialisation des limites de la FC</w:t>
      </w:r>
      <w:r w:rsidR="0048023C" w:rsidRPr="0048023C">
        <w:rPr>
          <w:rStyle w:val="SansinterligneCar"/>
        </w:rPr>
        <w:t>, et également des problèmes internes de manque de transparence dans la gestion.</w:t>
      </w:r>
    </w:p>
    <w:p w14:paraId="0BF773E8" w14:textId="77777777" w:rsidR="00CD02EC" w:rsidRDefault="00CD02EC" w:rsidP="00CD02EC">
      <w:pPr>
        <w:spacing w:before="240"/>
        <w:contextualSpacing/>
        <w:jc w:val="both"/>
        <w:rPr>
          <w:rStyle w:val="SansinterligneCar"/>
        </w:rPr>
      </w:pPr>
    </w:p>
    <w:p w14:paraId="70F62884" w14:textId="64070EB0" w:rsidR="0048023C" w:rsidRPr="00D40613" w:rsidRDefault="0048023C" w:rsidP="00CD02EC">
      <w:pPr>
        <w:pStyle w:val="Sansinterligne"/>
        <w:contextualSpacing/>
      </w:pPr>
      <w:r w:rsidRPr="007C0F7C">
        <w:rPr>
          <w:rStyle w:val="SansinterligneCar"/>
          <w:b/>
          <w:bCs/>
        </w:rPr>
        <w:t>Abenelang</w:t>
      </w:r>
      <w:r w:rsidR="007C0F7C">
        <w:t xml:space="preserve"> : </w:t>
      </w:r>
      <w:r w:rsidRPr="00D40613">
        <w:t xml:space="preserve">Ce village est impacté par SYIBG depuis 2016, et bénéficie d’un montant de 7.603.344 FCFA au titre du FDL. </w:t>
      </w:r>
      <w:r w:rsidR="007C0F7C">
        <w:t>Le</w:t>
      </w:r>
      <w:r w:rsidRPr="00D40613">
        <w:t xml:space="preserve"> projet</w:t>
      </w:r>
      <w:r w:rsidR="007C0F7C">
        <w:t xml:space="preserve"> (</w:t>
      </w:r>
      <w:r w:rsidRPr="00D40613">
        <w:t>installation de l’hydraulique villageoise</w:t>
      </w:r>
      <w:r w:rsidR="007C0F7C">
        <w:t>)</w:t>
      </w:r>
      <w:r w:rsidRPr="00D40613">
        <w:t xml:space="preserve"> est en arrêt depuis environ 10 mois</w:t>
      </w:r>
      <w:r w:rsidR="007C0F7C">
        <w:t xml:space="preserve"> et</w:t>
      </w:r>
      <w:r w:rsidRPr="00D40613">
        <w:t xml:space="preserve"> </w:t>
      </w:r>
      <w:r w:rsidR="007C0F7C">
        <w:t>l</w:t>
      </w:r>
      <w:r w:rsidRPr="00D40613">
        <w:t xml:space="preserve">es communautés n’ont aucune information sur les raisons de cet arrêt. </w:t>
      </w:r>
      <w:r w:rsidR="007C0F7C">
        <w:t>Elles</w:t>
      </w:r>
      <w:r w:rsidRPr="00D40613">
        <w:t xml:space="preserve"> ont été invitées à saisir le CGSP par correspondance pour faire état de la situation.</w:t>
      </w:r>
    </w:p>
    <w:p w14:paraId="0AD3EBA9" w14:textId="48DD56DF" w:rsidR="007C0F7C" w:rsidRDefault="0048023C" w:rsidP="00CD02EC">
      <w:pPr>
        <w:pStyle w:val="Sansinterligne"/>
        <w:contextualSpacing/>
      </w:pPr>
      <w:r w:rsidRPr="00D40613">
        <w:t>Par ailleurs, la communauté dispose d’une association active et une FC. Cette dernière a été suspendue depuis plus d’un an</w:t>
      </w:r>
      <w:r w:rsidR="007C0F7C">
        <w:t xml:space="preserve"> pour mauvaise gestion du bureau excécutif.</w:t>
      </w:r>
    </w:p>
    <w:p w14:paraId="0034DE09" w14:textId="200DEA52" w:rsidR="007C0F7C" w:rsidRPr="007C0F7C" w:rsidRDefault="007C0F7C" w:rsidP="00CD02EC">
      <w:pPr>
        <w:spacing w:before="240"/>
        <w:contextualSpacing/>
        <w:jc w:val="both"/>
        <w:rPr>
          <w:rStyle w:val="SansinterligneCar"/>
        </w:rPr>
      </w:pPr>
      <w:r w:rsidRPr="007C0F7C">
        <w:rPr>
          <w:rStyle w:val="SansinterligneCar"/>
          <w:b/>
          <w:bCs/>
        </w:rPr>
        <w:t>Poteau-Ciment</w:t>
      </w:r>
      <w:r>
        <w:rPr>
          <w:rFonts w:ascii="Calibri Light" w:hAnsi="Calibri Light" w:cs="Calibri Light"/>
          <w:bCs/>
        </w:rPr>
        <w:t xml:space="preserve"> : </w:t>
      </w:r>
      <w:r w:rsidRPr="007C0F7C">
        <w:rPr>
          <w:rStyle w:val="SansinterligneCar"/>
        </w:rPr>
        <w:t xml:space="preserve">Un CCC a été signé avec la société SYIBG pour un montant de 7.603.344 FCFA. Le projet choisi par la communauté est </w:t>
      </w:r>
      <w:r>
        <w:rPr>
          <w:rStyle w:val="SansinterligneCar"/>
        </w:rPr>
        <w:t xml:space="preserve">la </w:t>
      </w:r>
      <w:r w:rsidRPr="007C0F7C">
        <w:rPr>
          <w:rStyle w:val="SansinterligneCar"/>
        </w:rPr>
        <w:t>constru</w:t>
      </w:r>
      <w:r>
        <w:rPr>
          <w:rStyle w:val="SansinterligneCar"/>
        </w:rPr>
        <w:t>ction du</w:t>
      </w:r>
      <w:r w:rsidRPr="007C0F7C">
        <w:rPr>
          <w:rStyle w:val="SansinterligneCar"/>
        </w:rPr>
        <w:t xml:space="preserve"> logement de l’enseignant et l’ajou</w:t>
      </w:r>
      <w:r>
        <w:rPr>
          <w:rStyle w:val="SansinterligneCar"/>
        </w:rPr>
        <w:t>t</w:t>
      </w:r>
      <w:r w:rsidRPr="007C0F7C">
        <w:rPr>
          <w:rStyle w:val="SansinterligneCar"/>
        </w:rPr>
        <w:t xml:space="preserve"> d’une salle de classe déjà en construction depuis deux (2) semaines. Les travaux doivent être livrés avant la prochaine rentrée scolaire.</w:t>
      </w:r>
    </w:p>
    <w:p w14:paraId="68D2F604" w14:textId="77777777" w:rsidR="007C0F7C" w:rsidRPr="007C0F7C" w:rsidRDefault="007C0F7C" w:rsidP="007C0F7C">
      <w:pPr>
        <w:pStyle w:val="Sansinterligne"/>
        <w:rPr>
          <w:lang w:val="fr-BE"/>
        </w:rPr>
      </w:pPr>
    </w:p>
    <w:p w14:paraId="4E2241A2" w14:textId="65D5FB25" w:rsidR="0048023C" w:rsidRPr="007C0F7C" w:rsidRDefault="007C0F7C" w:rsidP="007C0F7C">
      <w:pPr>
        <w:pStyle w:val="Sansinterligne"/>
        <w:rPr>
          <w:lang w:val="fr-BE"/>
        </w:rPr>
      </w:pPr>
      <w:r w:rsidRPr="007C0F7C">
        <w:rPr>
          <w:rStyle w:val="SansinterligneCar"/>
          <w:b/>
          <w:bCs/>
        </w:rPr>
        <w:t>Mbadi 1 et 2</w:t>
      </w:r>
      <w:r>
        <w:rPr>
          <w:rStyle w:val="SansinterligneCar"/>
        </w:rPr>
        <w:t xml:space="preserve"> : </w:t>
      </w:r>
      <w:r>
        <w:t>c</w:t>
      </w:r>
      <w:r w:rsidRPr="00D40613">
        <w:t>es villages sont impactés par trois opérateurs économiques, à savoir TBNI, CDG et SFBT. Un seul cahier de charge a été signé avec SFBT. Le FDL est de 5.544.097 FCFA pour la réalisation du projet d’électrification villageoise</w:t>
      </w:r>
      <w:r>
        <w:t xml:space="preserve"> qui </w:t>
      </w:r>
      <w:r w:rsidRPr="00D40613">
        <w:t xml:space="preserve">a été livré. Cependant, selon les informations transmises par le Cantonnement des Eaux et Forêts, l’ouvrage </w:t>
      </w:r>
      <w:r>
        <w:t>serait</w:t>
      </w:r>
      <w:r w:rsidRPr="00D40613">
        <w:t xml:space="preserve"> incomplet. Pour la société SFBT, il s’agit d’un malentendu apparu lors de la soumission du projet. En effet, le projet d’électrification présenté par les communautés portait essentiellement sur l’éclairage des cours. Cependant, lors de la livraison, pour les communautés, le projet concernait également l’électrification des maisons d’habitation</w:t>
      </w:r>
    </w:p>
    <w:p w14:paraId="07E0F3A3" w14:textId="133CB3CE" w:rsidR="00F07143" w:rsidRPr="0048023C" w:rsidRDefault="00F07143" w:rsidP="00F07143">
      <w:pPr>
        <w:jc w:val="both"/>
        <w:rPr>
          <w:rStyle w:val="SansinterligneCar"/>
          <w:lang w:val="fr-BE"/>
        </w:rPr>
      </w:pPr>
    </w:p>
    <w:p w14:paraId="280979F4" w14:textId="21A26EA7" w:rsidR="00593824" w:rsidRDefault="00593824" w:rsidP="00593824">
      <w:pPr>
        <w:pStyle w:val="Sansinterligne"/>
      </w:pPr>
      <w:r w:rsidRPr="00593824">
        <w:rPr>
          <w:b/>
          <w:bCs/>
        </w:rPr>
        <w:t>Balimba</w:t>
      </w:r>
      <w:r>
        <w:t xml:space="preserve"> : </w:t>
      </w:r>
      <w:r w:rsidRPr="00D40613">
        <w:t xml:space="preserve">Un CCC a été signé </w:t>
      </w:r>
      <w:r>
        <w:t xml:space="preserve">avec CDG </w:t>
      </w:r>
      <w:r w:rsidRPr="00D40613">
        <w:t>depuis deux (2) ans pour un montant de 11. 430.854 FCFA au titre du FDL.</w:t>
      </w:r>
      <w:r>
        <w:t xml:space="preserve"> L</w:t>
      </w:r>
      <w:r w:rsidRPr="00D40613">
        <w:t xml:space="preserve">es travaux </w:t>
      </w:r>
      <w:r>
        <w:t>d</w:t>
      </w:r>
      <w:r w:rsidRPr="00D40613">
        <w:t>’hydraulique villageoise</w:t>
      </w:r>
      <w:r w:rsidRPr="00D40613">
        <w:t xml:space="preserve"> </w:t>
      </w:r>
      <w:r>
        <w:t xml:space="preserve">financés par le FDL </w:t>
      </w:r>
      <w:r w:rsidRPr="00D40613">
        <w:t>sont en arrêt depuis 7 mois</w:t>
      </w:r>
      <w:r>
        <w:t xml:space="preserve"> et l</w:t>
      </w:r>
      <w:r w:rsidRPr="00D40613">
        <w:t>es communautés disent n’avoir aucune information sur les raisons de cet arrêt.</w:t>
      </w:r>
    </w:p>
    <w:p w14:paraId="6F7BCE0A" w14:textId="17C68690" w:rsidR="00593824" w:rsidRPr="003A5C22" w:rsidRDefault="00593824" w:rsidP="003A5C22">
      <w:pPr>
        <w:pStyle w:val="Sansinterligne"/>
      </w:pPr>
      <w:r>
        <w:t xml:space="preserve">Un CCC a </w:t>
      </w:r>
      <w:r w:rsidRPr="003A5C22">
        <w:t>également</w:t>
      </w:r>
      <w:r w:rsidRPr="003A5C22">
        <w:t xml:space="preserve"> été </w:t>
      </w:r>
      <w:r w:rsidRPr="003A5C22">
        <w:t>signé</w:t>
      </w:r>
      <w:r w:rsidRPr="003A5C22">
        <w:t xml:space="preserve"> en 2020</w:t>
      </w:r>
      <w:r w:rsidR="003A5C22" w:rsidRPr="003A5C22">
        <w:t xml:space="preserve"> avec GTBB</w:t>
      </w:r>
      <w:r w:rsidRPr="003A5C22">
        <w:t xml:space="preserve">, </w:t>
      </w:r>
      <w:r w:rsidRPr="003A5C22">
        <w:t>mais aucune communication n’est faite en ce sens dans le suivi de ces obligations sociales.</w:t>
      </w:r>
    </w:p>
    <w:p w14:paraId="6ED2B69F" w14:textId="184E7B82" w:rsidR="00593824" w:rsidRPr="003A5C22" w:rsidRDefault="00593824" w:rsidP="003A5C22">
      <w:pPr>
        <w:pStyle w:val="Sansinterligne"/>
      </w:pPr>
      <w:r w:rsidRPr="003A5C22">
        <w:t>Le village possède une FC depuis 2016</w:t>
      </w:r>
      <w:r w:rsidR="003A5C22" w:rsidRPr="003A5C22">
        <w:t xml:space="preserve"> qui est actuellement en fermage. L</w:t>
      </w:r>
      <w:r w:rsidRPr="003A5C22">
        <w:t>e bois issu de cette forêt est vendu à un autre opérateur</w:t>
      </w:r>
      <w:r w:rsidR="003A5C22" w:rsidRPr="003A5C22">
        <w:t xml:space="preserve"> qui,</w:t>
      </w:r>
      <w:r w:rsidRPr="003A5C22">
        <w:t xml:space="preserve"> lors de la réception, refait le cubage du bois. Et celui-ci est souvent inférieur au cubage fait par le fermier et validé par l’administration forestière lors du chargement des grumiers. C’est donc le cubage fait par cet opérateur qui est pris en compte lors de la vente du bois.</w:t>
      </w:r>
    </w:p>
    <w:p w14:paraId="1078DDC8" w14:textId="3CBE0A51" w:rsidR="00F07143" w:rsidRDefault="00F07143" w:rsidP="003D00D5">
      <w:pPr>
        <w:jc w:val="both"/>
        <w:rPr>
          <w:rStyle w:val="SansinterligneCar"/>
          <w:lang w:val="fr-BE"/>
        </w:rPr>
      </w:pPr>
    </w:p>
    <w:p w14:paraId="604A1381" w14:textId="501CA98E" w:rsidR="003A5C22" w:rsidRDefault="003A5C22" w:rsidP="00CD02EC">
      <w:pPr>
        <w:pStyle w:val="Sansinterligne"/>
      </w:pPr>
      <w:r w:rsidRPr="003A5C22">
        <w:rPr>
          <w:b/>
          <w:bCs/>
        </w:rPr>
        <w:lastRenderedPageBreak/>
        <w:t>Laboka 1 et 2</w:t>
      </w:r>
      <w:r>
        <w:t xml:space="preserve"> : </w:t>
      </w:r>
      <w:r w:rsidRPr="00D40613">
        <w:t xml:space="preserve">Un CCC a été signé </w:t>
      </w:r>
      <w:r>
        <w:t>avec</w:t>
      </w:r>
      <w:r w:rsidRPr="00D40613">
        <w:t xml:space="preserve"> la société RFM. Le FDL s’élève à </w:t>
      </w:r>
      <w:r w:rsidRPr="00484C63">
        <w:t>19.575.023 FCFA. Le projet identifié par les communautés est l’hydraulique villageoise</w:t>
      </w:r>
      <w:r>
        <w:t>, mais ce</w:t>
      </w:r>
      <w:r>
        <w:t xml:space="preserve"> dernier est bloqué depuis environ 4 mois</w:t>
      </w:r>
      <w:r>
        <w:t xml:space="preserve"> sans que les communautés ne sachent pourquoi</w:t>
      </w:r>
      <w:r>
        <w:t xml:space="preserve">. </w:t>
      </w:r>
    </w:p>
    <w:p w14:paraId="14DB1B66" w14:textId="0B0B3875" w:rsidR="003A5C22" w:rsidRPr="00D40613" w:rsidRDefault="003A5C22" w:rsidP="00CD02EC">
      <w:pPr>
        <w:pStyle w:val="Sansinterligne"/>
      </w:pPr>
      <w:r w:rsidRPr="00D40613">
        <w:t xml:space="preserve">Ce regroupement possède également une forêt communautaire </w:t>
      </w:r>
      <w:r w:rsidR="00CD02EC">
        <w:t>qui</w:t>
      </w:r>
      <w:r w:rsidRPr="00D40613">
        <w:t xml:space="preserve"> est en arrêt d’activité. Cet arrêt s’explique par le fait que du bois aurait coupé dans une zone appartenant à la société RFM. L’association a donc eu pour cela une amende de 7 millions de francs CFA lors d’une mission menée par l’administration forestière. </w:t>
      </w:r>
    </w:p>
    <w:p w14:paraId="619EA974" w14:textId="7A316972" w:rsidR="003A5C22" w:rsidRDefault="003A5C22" w:rsidP="003D00D5">
      <w:pPr>
        <w:jc w:val="both"/>
        <w:rPr>
          <w:rStyle w:val="SansinterligneCar"/>
          <w:lang w:val="fr-BE"/>
        </w:rPr>
      </w:pPr>
    </w:p>
    <w:p w14:paraId="6AD1C08C" w14:textId="7657E5E1" w:rsidR="00CD02EC" w:rsidRDefault="00CD02EC" w:rsidP="00CD02EC">
      <w:pPr>
        <w:pStyle w:val="Sansinterligne"/>
      </w:pPr>
      <w:r w:rsidRPr="00CD02EC">
        <w:rPr>
          <w:b/>
          <w:bCs/>
          <w:lang w:val="fr-BE"/>
        </w:rPr>
        <w:t>Lassio</w:t>
      </w:r>
      <w:r w:rsidRPr="00CD02EC">
        <w:rPr>
          <w:lang w:val="fr-BE"/>
        </w:rPr>
        <w:t xml:space="preserve"> : </w:t>
      </w:r>
      <w:r>
        <w:rPr>
          <w:bCs/>
        </w:rPr>
        <w:t>Un CCC a été signé avec</w:t>
      </w:r>
      <w:r w:rsidRPr="00D40613">
        <w:t xml:space="preserve"> RFM depuis 2020.  Le montant du FDL s’élève à 15.000.000 FCFA. Comme projet la communauté a identifié la construction d’une case de passage en bois. Un montant de 10.000.000 FCFA comme avance a été décaissé pour l’achat du matériel et le lancement des travaux. Bien qu’étant en cours d’exécution, le projet a connu un retard. En effet, selon le responsable de la société </w:t>
      </w:r>
      <w:r>
        <w:t>de</w:t>
      </w:r>
      <w:r w:rsidRPr="00D40613">
        <w:t xml:space="preserve"> </w:t>
      </w:r>
      <w:r>
        <w:t>c</w:t>
      </w:r>
      <w:r w:rsidRPr="00D40613">
        <w:t xml:space="preserve">onstruction, la communauté a exigé la participation d’un natif du village dans la réalisation de ce projet. Ainsi, l’opérateur aurait remis une somme de 2.700.000 FCFA à ce dernier pour l’achat du matériel. Celui-ci n’aurait rien acheté. Ce qui a valu un arrêt de 5 mois. </w:t>
      </w:r>
    </w:p>
    <w:p w14:paraId="251AD9F5" w14:textId="1228512A" w:rsidR="00CD02EC" w:rsidRDefault="00CD02EC" w:rsidP="00CD02EC">
      <w:pPr>
        <w:pStyle w:val="Sansinterligne"/>
      </w:pPr>
    </w:p>
    <w:p w14:paraId="2A47727E" w14:textId="77777777" w:rsidR="00CD02EC" w:rsidRDefault="00CD02EC" w:rsidP="00CD02EC">
      <w:pPr>
        <w:pStyle w:val="Sansinterligne"/>
      </w:pPr>
      <w:r w:rsidRPr="00D40613">
        <w:rPr>
          <w:b/>
        </w:rPr>
        <w:t>Mangoumba</w:t>
      </w:r>
      <w:r>
        <w:rPr>
          <w:b/>
        </w:rPr>
        <w:t> </w:t>
      </w:r>
      <w:r w:rsidRPr="00CD02EC">
        <w:t>: d</w:t>
      </w:r>
      <w:r w:rsidRPr="00D40613">
        <w:t>eux CCC ont été signés</w:t>
      </w:r>
      <w:r>
        <w:t xml:space="preserve"> avec Rougier Gabon</w:t>
      </w:r>
      <w:r w:rsidRPr="00D40613">
        <w:t>. Le premier CCC a servi à financer l’achat d’un bus affecté au transport. Pour le deuxième, le projet retenu porte sur la construction d’une case de passage</w:t>
      </w:r>
      <w:r>
        <w:t>.</w:t>
      </w:r>
    </w:p>
    <w:p w14:paraId="75E12A32" w14:textId="2925FB6D" w:rsidR="00CD02EC" w:rsidRPr="00D40613" w:rsidRDefault="00CD02EC" w:rsidP="00CD02EC">
      <w:pPr>
        <w:pStyle w:val="Sansinterligne"/>
      </w:pPr>
      <w:r w:rsidRPr="00D40613">
        <w:t>Pour ce qui est de la forêt communautaire, elle est en arrêt d’activité. En l’absence du président de l’association, les communautés n’ont pas voulu évoquer les motifs de cet arrêt.</w:t>
      </w:r>
      <w:bookmarkStart w:id="0" w:name="_Toc71428111"/>
    </w:p>
    <w:bookmarkEnd w:id="0"/>
    <w:p w14:paraId="3690E4C0" w14:textId="77777777" w:rsidR="00FD7609" w:rsidRDefault="00FD7609" w:rsidP="00C236B4">
      <w:pPr>
        <w:jc w:val="both"/>
        <w:rPr>
          <w:rFonts w:asciiTheme="minorHAnsi" w:hAnsiTheme="minorHAnsi" w:cstheme="minorHAnsi"/>
          <w:sz w:val="22"/>
          <w:szCs w:val="22"/>
        </w:rPr>
      </w:pPr>
    </w:p>
    <w:p w14:paraId="197C6CEB" w14:textId="77777777" w:rsidR="00234D76" w:rsidRDefault="00234D76">
      <w:pPr>
        <w:rPr>
          <w:rStyle w:val="Accentuation"/>
          <w:rFonts w:asciiTheme="minorHAnsi" w:hAnsiTheme="minorHAnsi" w:cstheme="minorHAnsi"/>
          <w:b/>
          <w:bCs/>
          <w:sz w:val="22"/>
          <w:szCs w:val="22"/>
          <w:lang w:val="fr-CH" w:bidi="he-IL"/>
        </w:rPr>
      </w:pPr>
    </w:p>
    <w:p w14:paraId="556B2892" w14:textId="77777777" w:rsidR="00D74EB5" w:rsidRPr="00A718FF" w:rsidRDefault="00D74EB5" w:rsidP="008B7063">
      <w:pPr>
        <w:pStyle w:val="Titre1"/>
        <w:ind w:left="0"/>
        <w:rPr>
          <w:i/>
          <w:iCs/>
        </w:rPr>
      </w:pPr>
      <w:r>
        <w:rPr>
          <w:rStyle w:val="Accentuation"/>
        </w:rPr>
        <w:t>6. Cahiers des Charges Contractuels</w:t>
      </w:r>
    </w:p>
    <w:p w14:paraId="0B004188" w14:textId="715F672B" w:rsidR="00D74EB5" w:rsidRPr="005930A2" w:rsidRDefault="00D74EB5" w:rsidP="00D74EB5">
      <w:pPr>
        <w:jc w:val="both"/>
        <w:rPr>
          <w:rFonts w:asciiTheme="minorHAnsi" w:hAnsiTheme="minorHAnsi" w:cstheme="minorHAnsi"/>
          <w:sz w:val="22"/>
          <w:szCs w:val="22"/>
        </w:rPr>
      </w:pPr>
      <w:r w:rsidRPr="00373D61">
        <w:rPr>
          <w:rFonts w:asciiTheme="minorHAnsi" w:hAnsiTheme="minorHAnsi" w:cstheme="minorHAnsi"/>
          <w:sz w:val="22"/>
          <w:szCs w:val="22"/>
        </w:rPr>
        <w:t xml:space="preserve">A ce jour, </w:t>
      </w:r>
      <w:r w:rsidR="00373D61" w:rsidRPr="00373D61">
        <w:rPr>
          <w:rFonts w:asciiTheme="minorHAnsi" w:hAnsiTheme="minorHAnsi" w:cstheme="minorHAnsi"/>
          <w:sz w:val="22"/>
          <w:szCs w:val="22"/>
        </w:rPr>
        <w:t>129</w:t>
      </w:r>
      <w:r w:rsidRPr="00373D61">
        <w:rPr>
          <w:rFonts w:asciiTheme="minorHAnsi" w:hAnsiTheme="minorHAnsi" w:cstheme="minorHAnsi"/>
          <w:sz w:val="22"/>
          <w:szCs w:val="22"/>
        </w:rPr>
        <w:t xml:space="preserve"> Cahiers des Charges Contractuels (CCC)</w:t>
      </w:r>
      <w:r w:rsidR="005930A2" w:rsidRPr="00373D61">
        <w:rPr>
          <w:rFonts w:asciiTheme="minorHAnsi" w:hAnsiTheme="minorHAnsi" w:cstheme="minorHAnsi"/>
          <w:sz w:val="22"/>
          <w:szCs w:val="22"/>
        </w:rPr>
        <w:t xml:space="preserve"> et 1</w:t>
      </w:r>
      <w:r w:rsidR="00373D61" w:rsidRPr="00373D61">
        <w:rPr>
          <w:rFonts w:asciiTheme="minorHAnsi" w:hAnsiTheme="minorHAnsi" w:cstheme="minorHAnsi"/>
          <w:sz w:val="22"/>
          <w:szCs w:val="22"/>
        </w:rPr>
        <w:t>7</w:t>
      </w:r>
      <w:r w:rsidR="005930A2" w:rsidRPr="00373D61">
        <w:rPr>
          <w:rFonts w:asciiTheme="minorHAnsi" w:hAnsiTheme="minorHAnsi" w:cstheme="minorHAnsi"/>
          <w:sz w:val="22"/>
          <w:szCs w:val="22"/>
        </w:rPr>
        <w:t xml:space="preserve"> avenants</w:t>
      </w:r>
      <w:r w:rsidRPr="00373D61">
        <w:rPr>
          <w:rFonts w:asciiTheme="minorHAnsi" w:hAnsiTheme="minorHAnsi" w:cstheme="minorHAnsi"/>
          <w:sz w:val="22"/>
          <w:szCs w:val="22"/>
        </w:rPr>
        <w:t xml:space="preserve"> sont suivi</w:t>
      </w:r>
      <w:r w:rsidR="005930A2" w:rsidRPr="00373D61">
        <w:rPr>
          <w:rFonts w:asciiTheme="minorHAnsi" w:hAnsiTheme="minorHAnsi" w:cstheme="minorHAnsi"/>
          <w:sz w:val="22"/>
          <w:szCs w:val="22"/>
        </w:rPr>
        <w:t>s</w:t>
      </w:r>
      <w:r w:rsidRPr="00373D61">
        <w:rPr>
          <w:rFonts w:asciiTheme="minorHAnsi" w:hAnsiTheme="minorHAnsi" w:cstheme="minorHAnsi"/>
          <w:sz w:val="22"/>
          <w:szCs w:val="22"/>
        </w:rPr>
        <w:t xml:space="preserve"> par le projet. Le</w:t>
      </w:r>
      <w:r w:rsidR="005930A2" w:rsidRPr="00373D61">
        <w:rPr>
          <w:rFonts w:asciiTheme="minorHAnsi" w:hAnsiTheme="minorHAnsi" w:cstheme="minorHAnsi"/>
          <w:sz w:val="22"/>
          <w:szCs w:val="22"/>
        </w:rPr>
        <w:t>s</w:t>
      </w:r>
      <w:r w:rsidRPr="00373D61">
        <w:rPr>
          <w:rFonts w:asciiTheme="minorHAnsi" w:hAnsiTheme="minorHAnsi" w:cstheme="minorHAnsi"/>
          <w:sz w:val="22"/>
          <w:szCs w:val="22"/>
        </w:rPr>
        <w:t xml:space="preserve"> tableau</w:t>
      </w:r>
      <w:r w:rsidR="005930A2" w:rsidRPr="00373D61">
        <w:rPr>
          <w:rFonts w:asciiTheme="minorHAnsi" w:hAnsiTheme="minorHAnsi" w:cstheme="minorHAnsi"/>
          <w:sz w:val="22"/>
          <w:szCs w:val="22"/>
        </w:rPr>
        <w:t>x</w:t>
      </w:r>
      <w:r w:rsidRPr="00373D61">
        <w:rPr>
          <w:rFonts w:asciiTheme="minorHAnsi" w:hAnsiTheme="minorHAnsi" w:cstheme="minorHAnsi"/>
          <w:sz w:val="22"/>
          <w:szCs w:val="22"/>
        </w:rPr>
        <w:t xml:space="preserve"> suivant</w:t>
      </w:r>
      <w:r w:rsidR="005930A2" w:rsidRPr="00373D61">
        <w:rPr>
          <w:rFonts w:asciiTheme="minorHAnsi" w:hAnsiTheme="minorHAnsi" w:cstheme="minorHAnsi"/>
          <w:sz w:val="22"/>
          <w:szCs w:val="22"/>
        </w:rPr>
        <w:t>s</w:t>
      </w:r>
      <w:r w:rsidRPr="00373D61">
        <w:rPr>
          <w:rFonts w:asciiTheme="minorHAnsi" w:hAnsiTheme="minorHAnsi" w:cstheme="minorHAnsi"/>
          <w:sz w:val="22"/>
          <w:szCs w:val="22"/>
        </w:rPr>
        <w:t xml:space="preserve"> détaille</w:t>
      </w:r>
      <w:r w:rsidR="005930A2" w:rsidRPr="00373D61">
        <w:rPr>
          <w:rFonts w:asciiTheme="minorHAnsi" w:hAnsiTheme="minorHAnsi" w:cstheme="minorHAnsi"/>
          <w:sz w:val="22"/>
          <w:szCs w:val="22"/>
        </w:rPr>
        <w:t>nt</w:t>
      </w:r>
      <w:r w:rsidRPr="00373D61">
        <w:rPr>
          <w:rFonts w:asciiTheme="minorHAnsi" w:hAnsiTheme="minorHAnsi" w:cstheme="minorHAnsi"/>
          <w:sz w:val="22"/>
          <w:szCs w:val="22"/>
        </w:rPr>
        <w:t xml:space="preserve"> le nombre de CCC</w:t>
      </w:r>
      <w:r w:rsidR="005930A2" w:rsidRPr="00373D61">
        <w:rPr>
          <w:rFonts w:asciiTheme="minorHAnsi" w:hAnsiTheme="minorHAnsi" w:cstheme="minorHAnsi"/>
          <w:sz w:val="22"/>
          <w:szCs w:val="22"/>
        </w:rPr>
        <w:t xml:space="preserve"> et avenants</w:t>
      </w:r>
      <w:r w:rsidRPr="00373D61">
        <w:rPr>
          <w:rFonts w:asciiTheme="minorHAnsi" w:hAnsiTheme="minorHAnsi" w:cstheme="minorHAnsi"/>
          <w:sz w:val="22"/>
          <w:szCs w:val="22"/>
        </w:rPr>
        <w:t xml:space="preserve"> signés et mis en œuvre par province.</w:t>
      </w:r>
      <w:r w:rsidRPr="005930A2">
        <w:rPr>
          <w:rFonts w:asciiTheme="minorHAnsi" w:hAnsiTheme="minorHAnsi" w:cstheme="minorHAnsi"/>
          <w:sz w:val="22"/>
          <w:szCs w:val="22"/>
        </w:rPr>
        <w:t xml:space="preserve"> </w:t>
      </w:r>
    </w:p>
    <w:p w14:paraId="23DEC5BD" w14:textId="1941DBEE" w:rsidR="00D74EB5" w:rsidRDefault="00D74EB5" w:rsidP="00D74EB5">
      <w:pPr>
        <w:jc w:val="both"/>
        <w:rPr>
          <w:rFonts w:asciiTheme="minorHAnsi" w:hAnsiTheme="minorHAnsi" w:cstheme="minorHAnsi"/>
          <w:sz w:val="22"/>
          <w:szCs w:val="22"/>
          <w:highlight w:val="yellow"/>
        </w:rPr>
      </w:pPr>
    </w:p>
    <w:tbl>
      <w:tblPr>
        <w:tblStyle w:val="Grilledutableau2"/>
        <w:tblW w:w="7338" w:type="dxa"/>
        <w:jc w:val="center"/>
        <w:tblLook w:val="04A0" w:firstRow="1" w:lastRow="0" w:firstColumn="1" w:lastColumn="0" w:noHBand="0" w:noVBand="1"/>
      </w:tblPr>
      <w:tblGrid>
        <w:gridCol w:w="2436"/>
        <w:gridCol w:w="1641"/>
        <w:gridCol w:w="1843"/>
        <w:gridCol w:w="1418"/>
      </w:tblGrid>
      <w:tr w:rsidR="003F3F56" w14:paraId="346D7ABB" w14:textId="77777777" w:rsidTr="003F3F56">
        <w:trPr>
          <w:trHeight w:val="290"/>
          <w:jc w:val="center"/>
        </w:trPr>
        <w:tc>
          <w:tcPr>
            <w:tcW w:w="2436" w:type="dxa"/>
            <w:noWrap/>
            <w:hideMark/>
          </w:tcPr>
          <w:p w14:paraId="1F881319" w14:textId="7A44D90F" w:rsidR="003F3F56" w:rsidRDefault="003F3F56" w:rsidP="003F3F56">
            <w:pPr>
              <w:rPr>
                <w:rFonts w:cs="Calibri"/>
                <w:b/>
                <w:bCs/>
                <w:color w:val="000000"/>
                <w:lang w:eastAsia="fr-GA"/>
              </w:rPr>
            </w:pPr>
            <w:r>
              <w:rPr>
                <w:rFonts w:cs="Calibri"/>
                <w:b/>
                <w:bCs/>
                <w:color w:val="000000"/>
              </w:rPr>
              <w:t>Province</w:t>
            </w:r>
          </w:p>
        </w:tc>
        <w:tc>
          <w:tcPr>
            <w:tcW w:w="1641" w:type="dxa"/>
            <w:noWrap/>
            <w:hideMark/>
          </w:tcPr>
          <w:p w14:paraId="42516818" w14:textId="77777777" w:rsidR="003F3F56" w:rsidRDefault="003F3F56" w:rsidP="003F3F56">
            <w:pPr>
              <w:jc w:val="center"/>
              <w:rPr>
                <w:rFonts w:cs="Calibri"/>
                <w:b/>
                <w:bCs/>
                <w:color w:val="000000"/>
              </w:rPr>
            </w:pPr>
            <w:r>
              <w:rPr>
                <w:rFonts w:cs="Calibri"/>
                <w:b/>
                <w:bCs/>
                <w:color w:val="000000"/>
              </w:rPr>
              <w:t>Avenant</w:t>
            </w:r>
          </w:p>
        </w:tc>
        <w:tc>
          <w:tcPr>
            <w:tcW w:w="1843" w:type="dxa"/>
            <w:noWrap/>
            <w:hideMark/>
          </w:tcPr>
          <w:p w14:paraId="48133B88" w14:textId="77777777" w:rsidR="003F3F56" w:rsidRDefault="003F3F56" w:rsidP="003F3F56">
            <w:pPr>
              <w:jc w:val="center"/>
              <w:rPr>
                <w:rFonts w:cs="Calibri"/>
                <w:b/>
                <w:bCs/>
                <w:color w:val="000000"/>
              </w:rPr>
            </w:pPr>
            <w:r>
              <w:rPr>
                <w:rFonts w:cs="Calibri"/>
                <w:b/>
                <w:bCs/>
                <w:color w:val="000000"/>
              </w:rPr>
              <w:t>CCC</w:t>
            </w:r>
          </w:p>
        </w:tc>
        <w:tc>
          <w:tcPr>
            <w:tcW w:w="1418" w:type="dxa"/>
            <w:noWrap/>
            <w:hideMark/>
          </w:tcPr>
          <w:p w14:paraId="24DFAFF1" w14:textId="759F93F1" w:rsidR="003F3F56" w:rsidRDefault="003F3F56" w:rsidP="003F3F56">
            <w:pPr>
              <w:jc w:val="center"/>
              <w:rPr>
                <w:rFonts w:cs="Calibri"/>
                <w:b/>
                <w:bCs/>
                <w:color w:val="000000"/>
              </w:rPr>
            </w:pPr>
            <w:r>
              <w:rPr>
                <w:rFonts w:cs="Calibri"/>
                <w:b/>
                <w:bCs/>
                <w:color w:val="000000"/>
              </w:rPr>
              <w:t>Total</w:t>
            </w:r>
          </w:p>
        </w:tc>
      </w:tr>
      <w:tr w:rsidR="003F3F56" w14:paraId="30E1E44A" w14:textId="77777777" w:rsidTr="003F3F56">
        <w:trPr>
          <w:trHeight w:val="290"/>
          <w:jc w:val="center"/>
        </w:trPr>
        <w:tc>
          <w:tcPr>
            <w:tcW w:w="2436" w:type="dxa"/>
            <w:noWrap/>
            <w:hideMark/>
          </w:tcPr>
          <w:p w14:paraId="670A2B07" w14:textId="77777777" w:rsidR="003F3F56" w:rsidRDefault="003F3F56">
            <w:pPr>
              <w:rPr>
                <w:rFonts w:cs="Calibri"/>
                <w:color w:val="000000"/>
              </w:rPr>
            </w:pPr>
            <w:r>
              <w:rPr>
                <w:rFonts w:cs="Calibri"/>
                <w:color w:val="000000"/>
              </w:rPr>
              <w:t>NGOUNIE</w:t>
            </w:r>
          </w:p>
        </w:tc>
        <w:tc>
          <w:tcPr>
            <w:tcW w:w="1641" w:type="dxa"/>
            <w:noWrap/>
            <w:hideMark/>
          </w:tcPr>
          <w:p w14:paraId="0C21963F" w14:textId="77777777" w:rsidR="003F3F56" w:rsidRDefault="003F3F56" w:rsidP="003F3F56">
            <w:pPr>
              <w:jc w:val="center"/>
              <w:rPr>
                <w:rFonts w:cs="Calibri"/>
                <w:color w:val="000000"/>
              </w:rPr>
            </w:pPr>
            <w:r>
              <w:rPr>
                <w:rFonts w:cs="Calibri"/>
                <w:color w:val="000000"/>
              </w:rPr>
              <w:t>7</w:t>
            </w:r>
          </w:p>
        </w:tc>
        <w:tc>
          <w:tcPr>
            <w:tcW w:w="1843" w:type="dxa"/>
            <w:noWrap/>
            <w:hideMark/>
          </w:tcPr>
          <w:p w14:paraId="7F8D952C" w14:textId="77777777" w:rsidR="003F3F56" w:rsidRDefault="003F3F56" w:rsidP="003F3F56">
            <w:pPr>
              <w:jc w:val="center"/>
              <w:rPr>
                <w:rFonts w:cs="Calibri"/>
                <w:color w:val="000000"/>
              </w:rPr>
            </w:pPr>
            <w:r>
              <w:rPr>
                <w:rFonts w:cs="Calibri"/>
                <w:color w:val="000000"/>
              </w:rPr>
              <w:t>24</w:t>
            </w:r>
          </w:p>
        </w:tc>
        <w:tc>
          <w:tcPr>
            <w:tcW w:w="1418" w:type="dxa"/>
            <w:noWrap/>
            <w:hideMark/>
          </w:tcPr>
          <w:p w14:paraId="75A0B237" w14:textId="77777777" w:rsidR="003F3F56" w:rsidRDefault="003F3F56" w:rsidP="003F3F56">
            <w:pPr>
              <w:jc w:val="center"/>
              <w:rPr>
                <w:rFonts w:cs="Calibri"/>
                <w:color w:val="000000"/>
              </w:rPr>
            </w:pPr>
            <w:r>
              <w:rPr>
                <w:rFonts w:cs="Calibri"/>
                <w:color w:val="000000"/>
              </w:rPr>
              <w:t>31</w:t>
            </w:r>
          </w:p>
        </w:tc>
      </w:tr>
      <w:tr w:rsidR="003F3F56" w14:paraId="15CFACC1" w14:textId="77777777" w:rsidTr="003F3F56">
        <w:trPr>
          <w:trHeight w:val="290"/>
          <w:jc w:val="center"/>
        </w:trPr>
        <w:tc>
          <w:tcPr>
            <w:tcW w:w="2436" w:type="dxa"/>
            <w:noWrap/>
            <w:hideMark/>
          </w:tcPr>
          <w:p w14:paraId="64FFAB8B" w14:textId="77777777" w:rsidR="003F3F56" w:rsidRDefault="003F3F56">
            <w:pPr>
              <w:rPr>
                <w:rFonts w:cs="Calibri"/>
                <w:color w:val="000000"/>
              </w:rPr>
            </w:pPr>
            <w:r>
              <w:rPr>
                <w:rFonts w:cs="Calibri"/>
                <w:color w:val="000000"/>
              </w:rPr>
              <w:t>NYANGA</w:t>
            </w:r>
          </w:p>
        </w:tc>
        <w:tc>
          <w:tcPr>
            <w:tcW w:w="1641" w:type="dxa"/>
            <w:noWrap/>
            <w:hideMark/>
          </w:tcPr>
          <w:p w14:paraId="3F64EA55" w14:textId="77777777" w:rsidR="003F3F56" w:rsidRDefault="003F3F56" w:rsidP="003F3F56">
            <w:pPr>
              <w:jc w:val="center"/>
              <w:rPr>
                <w:rFonts w:cs="Calibri"/>
                <w:color w:val="000000"/>
              </w:rPr>
            </w:pPr>
          </w:p>
        </w:tc>
        <w:tc>
          <w:tcPr>
            <w:tcW w:w="1843" w:type="dxa"/>
            <w:noWrap/>
            <w:hideMark/>
          </w:tcPr>
          <w:p w14:paraId="1D7E9BDE" w14:textId="77777777" w:rsidR="003F3F56" w:rsidRDefault="003F3F56" w:rsidP="003F3F56">
            <w:pPr>
              <w:jc w:val="center"/>
              <w:rPr>
                <w:rFonts w:cs="Calibri"/>
                <w:color w:val="000000"/>
              </w:rPr>
            </w:pPr>
            <w:r>
              <w:rPr>
                <w:rFonts w:cs="Calibri"/>
                <w:color w:val="000000"/>
              </w:rPr>
              <w:t>8</w:t>
            </w:r>
          </w:p>
        </w:tc>
        <w:tc>
          <w:tcPr>
            <w:tcW w:w="1418" w:type="dxa"/>
            <w:noWrap/>
            <w:hideMark/>
          </w:tcPr>
          <w:p w14:paraId="1D2E5716" w14:textId="77777777" w:rsidR="003F3F56" w:rsidRDefault="003F3F56" w:rsidP="003F3F56">
            <w:pPr>
              <w:jc w:val="center"/>
              <w:rPr>
                <w:rFonts w:cs="Calibri"/>
                <w:color w:val="000000"/>
              </w:rPr>
            </w:pPr>
            <w:r>
              <w:rPr>
                <w:rFonts w:cs="Calibri"/>
                <w:color w:val="000000"/>
              </w:rPr>
              <w:t>8</w:t>
            </w:r>
          </w:p>
        </w:tc>
      </w:tr>
      <w:tr w:rsidR="003F3F56" w14:paraId="7B05DB44" w14:textId="77777777" w:rsidTr="003F3F56">
        <w:trPr>
          <w:trHeight w:val="290"/>
          <w:jc w:val="center"/>
        </w:trPr>
        <w:tc>
          <w:tcPr>
            <w:tcW w:w="2436" w:type="dxa"/>
            <w:noWrap/>
            <w:hideMark/>
          </w:tcPr>
          <w:p w14:paraId="5B231FB5" w14:textId="77777777" w:rsidR="003F3F56" w:rsidRDefault="003F3F56">
            <w:pPr>
              <w:rPr>
                <w:rFonts w:cs="Calibri"/>
                <w:color w:val="000000"/>
              </w:rPr>
            </w:pPr>
            <w:r>
              <w:rPr>
                <w:rFonts w:cs="Calibri"/>
                <w:color w:val="000000"/>
              </w:rPr>
              <w:t>OGOOUE IVINDO</w:t>
            </w:r>
          </w:p>
        </w:tc>
        <w:tc>
          <w:tcPr>
            <w:tcW w:w="1641" w:type="dxa"/>
            <w:noWrap/>
            <w:hideMark/>
          </w:tcPr>
          <w:p w14:paraId="6D845A69" w14:textId="77777777" w:rsidR="003F3F56" w:rsidRDefault="003F3F56" w:rsidP="003F3F56">
            <w:pPr>
              <w:jc w:val="center"/>
              <w:rPr>
                <w:rFonts w:cs="Calibri"/>
                <w:color w:val="000000"/>
              </w:rPr>
            </w:pPr>
            <w:r>
              <w:rPr>
                <w:rFonts w:cs="Calibri"/>
                <w:color w:val="000000"/>
              </w:rPr>
              <w:t>6</w:t>
            </w:r>
          </w:p>
        </w:tc>
        <w:tc>
          <w:tcPr>
            <w:tcW w:w="1843" w:type="dxa"/>
            <w:noWrap/>
            <w:hideMark/>
          </w:tcPr>
          <w:p w14:paraId="098D716C" w14:textId="77777777" w:rsidR="003F3F56" w:rsidRDefault="003F3F56" w:rsidP="003F3F56">
            <w:pPr>
              <w:jc w:val="center"/>
              <w:rPr>
                <w:rFonts w:cs="Calibri"/>
                <w:color w:val="000000"/>
              </w:rPr>
            </w:pPr>
            <w:r>
              <w:rPr>
                <w:rFonts w:cs="Calibri"/>
                <w:color w:val="000000"/>
              </w:rPr>
              <w:t>25</w:t>
            </w:r>
          </w:p>
        </w:tc>
        <w:tc>
          <w:tcPr>
            <w:tcW w:w="1418" w:type="dxa"/>
            <w:noWrap/>
            <w:hideMark/>
          </w:tcPr>
          <w:p w14:paraId="1244F8B4" w14:textId="77777777" w:rsidR="003F3F56" w:rsidRDefault="003F3F56" w:rsidP="003F3F56">
            <w:pPr>
              <w:jc w:val="center"/>
              <w:rPr>
                <w:rFonts w:cs="Calibri"/>
                <w:color w:val="000000"/>
              </w:rPr>
            </w:pPr>
            <w:r>
              <w:rPr>
                <w:rFonts w:cs="Calibri"/>
                <w:color w:val="000000"/>
              </w:rPr>
              <w:t>31</w:t>
            </w:r>
          </w:p>
        </w:tc>
      </w:tr>
      <w:tr w:rsidR="003F3F56" w14:paraId="3DE6B3C2" w14:textId="77777777" w:rsidTr="003F3F56">
        <w:trPr>
          <w:trHeight w:val="290"/>
          <w:jc w:val="center"/>
        </w:trPr>
        <w:tc>
          <w:tcPr>
            <w:tcW w:w="2436" w:type="dxa"/>
            <w:noWrap/>
            <w:hideMark/>
          </w:tcPr>
          <w:p w14:paraId="2AB9C3A7" w14:textId="77777777" w:rsidR="003F3F56" w:rsidRDefault="003F3F56">
            <w:pPr>
              <w:rPr>
                <w:rFonts w:cs="Calibri"/>
                <w:color w:val="000000"/>
              </w:rPr>
            </w:pPr>
            <w:r>
              <w:rPr>
                <w:rFonts w:cs="Calibri"/>
                <w:color w:val="000000"/>
              </w:rPr>
              <w:t>WOLEU NTEM</w:t>
            </w:r>
          </w:p>
        </w:tc>
        <w:tc>
          <w:tcPr>
            <w:tcW w:w="1641" w:type="dxa"/>
            <w:noWrap/>
            <w:hideMark/>
          </w:tcPr>
          <w:p w14:paraId="3393B290" w14:textId="77777777" w:rsidR="003F3F56" w:rsidRDefault="003F3F56" w:rsidP="003F3F56">
            <w:pPr>
              <w:jc w:val="center"/>
              <w:rPr>
                <w:rFonts w:cs="Calibri"/>
                <w:color w:val="000000"/>
              </w:rPr>
            </w:pPr>
            <w:r>
              <w:rPr>
                <w:rFonts w:cs="Calibri"/>
                <w:color w:val="000000"/>
              </w:rPr>
              <w:t>1</w:t>
            </w:r>
          </w:p>
        </w:tc>
        <w:tc>
          <w:tcPr>
            <w:tcW w:w="1843" w:type="dxa"/>
            <w:noWrap/>
            <w:hideMark/>
          </w:tcPr>
          <w:p w14:paraId="4436106F" w14:textId="77777777" w:rsidR="003F3F56" w:rsidRDefault="003F3F56" w:rsidP="003F3F56">
            <w:pPr>
              <w:jc w:val="center"/>
              <w:rPr>
                <w:rFonts w:cs="Calibri"/>
                <w:color w:val="000000"/>
              </w:rPr>
            </w:pPr>
            <w:r>
              <w:rPr>
                <w:rFonts w:cs="Calibri"/>
                <w:color w:val="000000"/>
              </w:rPr>
              <w:t>27</w:t>
            </w:r>
          </w:p>
        </w:tc>
        <w:tc>
          <w:tcPr>
            <w:tcW w:w="1418" w:type="dxa"/>
            <w:noWrap/>
            <w:hideMark/>
          </w:tcPr>
          <w:p w14:paraId="69214F28" w14:textId="77777777" w:rsidR="003F3F56" w:rsidRDefault="003F3F56" w:rsidP="003F3F56">
            <w:pPr>
              <w:jc w:val="center"/>
              <w:rPr>
                <w:rFonts w:cs="Calibri"/>
                <w:color w:val="000000"/>
              </w:rPr>
            </w:pPr>
            <w:r>
              <w:rPr>
                <w:rFonts w:cs="Calibri"/>
                <w:color w:val="000000"/>
              </w:rPr>
              <w:t>28</w:t>
            </w:r>
          </w:p>
        </w:tc>
      </w:tr>
      <w:tr w:rsidR="003F3F56" w14:paraId="43059EAD" w14:textId="77777777" w:rsidTr="003F3F56">
        <w:trPr>
          <w:trHeight w:val="290"/>
          <w:jc w:val="center"/>
        </w:trPr>
        <w:tc>
          <w:tcPr>
            <w:tcW w:w="2436" w:type="dxa"/>
            <w:noWrap/>
            <w:hideMark/>
          </w:tcPr>
          <w:p w14:paraId="568AE77A" w14:textId="77777777" w:rsidR="003F3F56" w:rsidRDefault="003F3F56">
            <w:pPr>
              <w:rPr>
                <w:rFonts w:cs="Calibri"/>
                <w:b/>
                <w:bCs/>
                <w:color w:val="000000"/>
              </w:rPr>
            </w:pPr>
            <w:r>
              <w:rPr>
                <w:rFonts w:cs="Calibri"/>
                <w:b/>
                <w:bCs/>
                <w:color w:val="000000"/>
              </w:rPr>
              <w:t>Total général</w:t>
            </w:r>
          </w:p>
        </w:tc>
        <w:tc>
          <w:tcPr>
            <w:tcW w:w="1641" w:type="dxa"/>
            <w:noWrap/>
            <w:hideMark/>
          </w:tcPr>
          <w:p w14:paraId="29DF1088" w14:textId="77777777" w:rsidR="003F3F56" w:rsidRDefault="003F3F56" w:rsidP="003F3F56">
            <w:pPr>
              <w:jc w:val="center"/>
              <w:rPr>
                <w:rFonts w:cs="Calibri"/>
                <w:b/>
                <w:bCs/>
                <w:color w:val="000000"/>
              </w:rPr>
            </w:pPr>
            <w:r>
              <w:rPr>
                <w:rFonts w:cs="Calibri"/>
                <w:b/>
                <w:bCs/>
                <w:color w:val="000000"/>
              </w:rPr>
              <w:t>14</w:t>
            </w:r>
          </w:p>
        </w:tc>
        <w:tc>
          <w:tcPr>
            <w:tcW w:w="1843" w:type="dxa"/>
            <w:noWrap/>
            <w:hideMark/>
          </w:tcPr>
          <w:p w14:paraId="6D8A09BF" w14:textId="77777777" w:rsidR="003F3F56" w:rsidRDefault="003F3F56" w:rsidP="003F3F56">
            <w:pPr>
              <w:jc w:val="center"/>
              <w:rPr>
                <w:rFonts w:cs="Calibri"/>
                <w:b/>
                <w:bCs/>
                <w:color w:val="000000"/>
              </w:rPr>
            </w:pPr>
            <w:r>
              <w:rPr>
                <w:rFonts w:cs="Calibri"/>
                <w:b/>
                <w:bCs/>
                <w:color w:val="000000"/>
              </w:rPr>
              <w:t>84</w:t>
            </w:r>
          </w:p>
        </w:tc>
        <w:tc>
          <w:tcPr>
            <w:tcW w:w="1418" w:type="dxa"/>
            <w:noWrap/>
            <w:hideMark/>
          </w:tcPr>
          <w:p w14:paraId="63A4C425" w14:textId="77777777" w:rsidR="003F3F56" w:rsidRDefault="003F3F56" w:rsidP="003F3F56">
            <w:pPr>
              <w:jc w:val="center"/>
              <w:rPr>
                <w:rFonts w:cs="Calibri"/>
                <w:b/>
                <w:bCs/>
                <w:color w:val="000000"/>
              </w:rPr>
            </w:pPr>
            <w:r>
              <w:rPr>
                <w:rFonts w:cs="Calibri"/>
                <w:b/>
                <w:bCs/>
                <w:color w:val="000000"/>
              </w:rPr>
              <w:t>98</w:t>
            </w:r>
          </w:p>
        </w:tc>
      </w:tr>
    </w:tbl>
    <w:p w14:paraId="0E9EFC73" w14:textId="04478A18" w:rsidR="003F3F56" w:rsidRDefault="003F3F56" w:rsidP="00D74EB5">
      <w:pPr>
        <w:jc w:val="both"/>
        <w:rPr>
          <w:rFonts w:asciiTheme="minorHAnsi" w:hAnsiTheme="minorHAnsi" w:cstheme="minorHAnsi"/>
          <w:sz w:val="22"/>
          <w:szCs w:val="22"/>
          <w:highlight w:val="yellow"/>
        </w:rPr>
      </w:pPr>
    </w:p>
    <w:tbl>
      <w:tblPr>
        <w:tblStyle w:val="Grilledutableau2"/>
        <w:tblW w:w="6312" w:type="dxa"/>
        <w:jc w:val="center"/>
        <w:tblLook w:val="04A0" w:firstRow="1" w:lastRow="0" w:firstColumn="1" w:lastColumn="0" w:noHBand="0" w:noVBand="1"/>
      </w:tblPr>
      <w:tblGrid>
        <w:gridCol w:w="3876"/>
        <w:gridCol w:w="2436"/>
      </w:tblGrid>
      <w:tr w:rsidR="003F3F56" w14:paraId="39D90B68" w14:textId="77777777" w:rsidTr="003F3F56">
        <w:trPr>
          <w:trHeight w:val="290"/>
          <w:jc w:val="center"/>
        </w:trPr>
        <w:tc>
          <w:tcPr>
            <w:tcW w:w="3876" w:type="dxa"/>
            <w:noWrap/>
            <w:hideMark/>
          </w:tcPr>
          <w:p w14:paraId="574021F1" w14:textId="6CEBC63E" w:rsidR="003F3F56" w:rsidRDefault="003F3F56" w:rsidP="003F3F56">
            <w:pPr>
              <w:rPr>
                <w:rFonts w:cs="Calibri"/>
                <w:b/>
                <w:bCs/>
                <w:color w:val="000000"/>
                <w:lang w:eastAsia="fr-GA"/>
              </w:rPr>
            </w:pPr>
            <w:r>
              <w:rPr>
                <w:rFonts w:cs="Calibri"/>
                <w:b/>
                <w:bCs/>
                <w:color w:val="000000"/>
              </w:rPr>
              <w:t>Stade de mise en œuvre</w:t>
            </w:r>
          </w:p>
        </w:tc>
        <w:tc>
          <w:tcPr>
            <w:tcW w:w="2436" w:type="dxa"/>
            <w:noWrap/>
            <w:hideMark/>
          </w:tcPr>
          <w:p w14:paraId="5262F836" w14:textId="77777777" w:rsidR="003F3F56" w:rsidRDefault="003F3F56" w:rsidP="003F3F56">
            <w:pPr>
              <w:jc w:val="center"/>
              <w:rPr>
                <w:rFonts w:cs="Calibri"/>
                <w:b/>
                <w:bCs/>
                <w:color w:val="000000"/>
              </w:rPr>
            </w:pPr>
            <w:r>
              <w:rPr>
                <w:rFonts w:cs="Calibri"/>
                <w:b/>
                <w:bCs/>
                <w:color w:val="000000"/>
              </w:rPr>
              <w:t>Nombre de CCC/Avenant</w:t>
            </w:r>
          </w:p>
        </w:tc>
      </w:tr>
      <w:tr w:rsidR="003F3F56" w14:paraId="23FCF829" w14:textId="77777777" w:rsidTr="003F3F56">
        <w:trPr>
          <w:trHeight w:val="290"/>
          <w:jc w:val="center"/>
        </w:trPr>
        <w:tc>
          <w:tcPr>
            <w:tcW w:w="3876" w:type="dxa"/>
            <w:noWrap/>
            <w:hideMark/>
          </w:tcPr>
          <w:p w14:paraId="56975BD0" w14:textId="77777777" w:rsidR="003F3F56" w:rsidRDefault="003F3F56" w:rsidP="003F3F56">
            <w:pPr>
              <w:rPr>
                <w:rFonts w:cs="Calibri"/>
                <w:color w:val="000000"/>
              </w:rPr>
            </w:pPr>
            <w:r>
              <w:rPr>
                <w:rFonts w:cs="Calibri"/>
                <w:color w:val="000000"/>
              </w:rPr>
              <w:t>En attente de la livraison officielle</w:t>
            </w:r>
          </w:p>
        </w:tc>
        <w:tc>
          <w:tcPr>
            <w:tcW w:w="2436" w:type="dxa"/>
            <w:noWrap/>
            <w:hideMark/>
          </w:tcPr>
          <w:p w14:paraId="07AA1BE6" w14:textId="77777777" w:rsidR="003F3F56" w:rsidRDefault="003F3F56" w:rsidP="003F3F56">
            <w:pPr>
              <w:jc w:val="center"/>
              <w:rPr>
                <w:rFonts w:cs="Calibri"/>
                <w:color w:val="000000"/>
              </w:rPr>
            </w:pPr>
            <w:r>
              <w:rPr>
                <w:rFonts w:cs="Calibri"/>
                <w:color w:val="000000"/>
              </w:rPr>
              <w:t>3</w:t>
            </w:r>
          </w:p>
        </w:tc>
      </w:tr>
      <w:tr w:rsidR="003F3F56" w14:paraId="4F9888B0" w14:textId="77777777" w:rsidTr="003F3F56">
        <w:trPr>
          <w:trHeight w:val="290"/>
          <w:jc w:val="center"/>
        </w:trPr>
        <w:tc>
          <w:tcPr>
            <w:tcW w:w="3876" w:type="dxa"/>
            <w:noWrap/>
            <w:hideMark/>
          </w:tcPr>
          <w:p w14:paraId="3AC8F9D0" w14:textId="77777777" w:rsidR="003F3F56" w:rsidRDefault="003F3F56" w:rsidP="003F3F56">
            <w:pPr>
              <w:rPr>
                <w:rFonts w:cs="Calibri"/>
                <w:color w:val="000000"/>
              </w:rPr>
            </w:pPr>
            <w:r>
              <w:rPr>
                <w:rFonts w:cs="Calibri"/>
                <w:color w:val="000000"/>
              </w:rPr>
              <w:t>En attente des projets des communautés</w:t>
            </w:r>
          </w:p>
        </w:tc>
        <w:tc>
          <w:tcPr>
            <w:tcW w:w="2436" w:type="dxa"/>
            <w:noWrap/>
            <w:hideMark/>
          </w:tcPr>
          <w:p w14:paraId="4B246DE3" w14:textId="77777777" w:rsidR="003F3F56" w:rsidRDefault="003F3F56" w:rsidP="003F3F56">
            <w:pPr>
              <w:jc w:val="center"/>
              <w:rPr>
                <w:rFonts w:cs="Calibri"/>
                <w:color w:val="000000"/>
              </w:rPr>
            </w:pPr>
            <w:r>
              <w:rPr>
                <w:rFonts w:cs="Calibri"/>
                <w:color w:val="000000"/>
              </w:rPr>
              <w:t>24</w:t>
            </w:r>
          </w:p>
        </w:tc>
      </w:tr>
      <w:tr w:rsidR="003F3F56" w14:paraId="7BCF2F29" w14:textId="77777777" w:rsidTr="003F3F56">
        <w:trPr>
          <w:trHeight w:val="290"/>
          <w:jc w:val="center"/>
        </w:trPr>
        <w:tc>
          <w:tcPr>
            <w:tcW w:w="3876" w:type="dxa"/>
            <w:noWrap/>
            <w:hideMark/>
          </w:tcPr>
          <w:p w14:paraId="29C09F01" w14:textId="77777777" w:rsidR="003F3F56" w:rsidRDefault="003F3F56" w:rsidP="003F3F56">
            <w:pPr>
              <w:rPr>
                <w:rFonts w:cs="Calibri"/>
                <w:color w:val="000000"/>
              </w:rPr>
            </w:pPr>
            <w:r>
              <w:rPr>
                <w:rFonts w:cs="Calibri"/>
                <w:color w:val="000000"/>
              </w:rPr>
              <w:t>En attente du versement du FDL</w:t>
            </w:r>
          </w:p>
        </w:tc>
        <w:tc>
          <w:tcPr>
            <w:tcW w:w="2436" w:type="dxa"/>
            <w:noWrap/>
            <w:hideMark/>
          </w:tcPr>
          <w:p w14:paraId="5DA0C5C0" w14:textId="77777777" w:rsidR="003F3F56" w:rsidRDefault="003F3F56" w:rsidP="003F3F56">
            <w:pPr>
              <w:jc w:val="center"/>
              <w:rPr>
                <w:rFonts w:cs="Calibri"/>
                <w:color w:val="000000"/>
              </w:rPr>
            </w:pPr>
            <w:r>
              <w:rPr>
                <w:rFonts w:cs="Calibri"/>
                <w:color w:val="000000"/>
              </w:rPr>
              <w:t>37</w:t>
            </w:r>
          </w:p>
        </w:tc>
      </w:tr>
      <w:tr w:rsidR="003F3F56" w14:paraId="00FD1292" w14:textId="77777777" w:rsidTr="003F3F56">
        <w:trPr>
          <w:trHeight w:val="290"/>
          <w:jc w:val="center"/>
        </w:trPr>
        <w:tc>
          <w:tcPr>
            <w:tcW w:w="3876" w:type="dxa"/>
            <w:noWrap/>
            <w:hideMark/>
          </w:tcPr>
          <w:p w14:paraId="565144FC" w14:textId="77777777" w:rsidR="003F3F56" w:rsidRDefault="003F3F56" w:rsidP="003F3F56">
            <w:pPr>
              <w:rPr>
                <w:rFonts w:cs="Calibri"/>
                <w:color w:val="000000"/>
              </w:rPr>
            </w:pPr>
            <w:r>
              <w:rPr>
                <w:rFonts w:cs="Calibri"/>
                <w:color w:val="000000"/>
              </w:rPr>
              <w:t>Mise en œuvre projets</w:t>
            </w:r>
          </w:p>
        </w:tc>
        <w:tc>
          <w:tcPr>
            <w:tcW w:w="2436" w:type="dxa"/>
            <w:noWrap/>
            <w:hideMark/>
          </w:tcPr>
          <w:p w14:paraId="06D05297" w14:textId="77777777" w:rsidR="003F3F56" w:rsidRDefault="003F3F56" w:rsidP="003F3F56">
            <w:pPr>
              <w:jc w:val="center"/>
              <w:rPr>
                <w:rFonts w:cs="Calibri"/>
                <w:color w:val="000000"/>
              </w:rPr>
            </w:pPr>
            <w:r>
              <w:rPr>
                <w:rFonts w:cs="Calibri"/>
                <w:color w:val="000000"/>
              </w:rPr>
              <w:t>34</w:t>
            </w:r>
          </w:p>
        </w:tc>
      </w:tr>
      <w:tr w:rsidR="003F3F56" w14:paraId="111316EE" w14:textId="77777777" w:rsidTr="003F3F56">
        <w:trPr>
          <w:trHeight w:val="290"/>
          <w:jc w:val="center"/>
        </w:trPr>
        <w:tc>
          <w:tcPr>
            <w:tcW w:w="3876" w:type="dxa"/>
            <w:noWrap/>
            <w:hideMark/>
          </w:tcPr>
          <w:p w14:paraId="07BE28DC" w14:textId="77777777" w:rsidR="003F3F56" w:rsidRDefault="003F3F56" w:rsidP="003F3F56">
            <w:pPr>
              <w:rPr>
                <w:rFonts w:cs="Calibri"/>
                <w:b/>
                <w:bCs/>
                <w:color w:val="000000"/>
              </w:rPr>
            </w:pPr>
            <w:r>
              <w:rPr>
                <w:rFonts w:cs="Calibri"/>
                <w:b/>
                <w:bCs/>
                <w:color w:val="000000"/>
              </w:rPr>
              <w:t>Total général</w:t>
            </w:r>
          </w:p>
        </w:tc>
        <w:tc>
          <w:tcPr>
            <w:tcW w:w="2436" w:type="dxa"/>
            <w:noWrap/>
            <w:hideMark/>
          </w:tcPr>
          <w:p w14:paraId="25322DC8" w14:textId="77777777" w:rsidR="003F3F56" w:rsidRDefault="003F3F56" w:rsidP="003F3F56">
            <w:pPr>
              <w:jc w:val="center"/>
              <w:rPr>
                <w:rFonts w:cs="Calibri"/>
                <w:b/>
                <w:bCs/>
                <w:color w:val="000000"/>
              </w:rPr>
            </w:pPr>
            <w:r>
              <w:rPr>
                <w:rFonts w:cs="Calibri"/>
                <w:b/>
                <w:bCs/>
                <w:color w:val="000000"/>
              </w:rPr>
              <w:t>98</w:t>
            </w:r>
          </w:p>
        </w:tc>
      </w:tr>
    </w:tbl>
    <w:p w14:paraId="478964AE" w14:textId="4F6F9BED" w:rsidR="003F3F56" w:rsidRDefault="003F3F56" w:rsidP="003F3F56">
      <w:pPr>
        <w:jc w:val="center"/>
        <w:rPr>
          <w:rFonts w:asciiTheme="minorHAnsi" w:hAnsiTheme="minorHAnsi" w:cstheme="minorHAnsi"/>
          <w:sz w:val="22"/>
          <w:szCs w:val="22"/>
          <w:highlight w:val="yellow"/>
        </w:rPr>
      </w:pPr>
    </w:p>
    <w:p w14:paraId="07BDB781" w14:textId="143592A1" w:rsidR="003F3F56" w:rsidRDefault="003F3F56" w:rsidP="00D74EB5">
      <w:pPr>
        <w:jc w:val="both"/>
        <w:rPr>
          <w:rFonts w:asciiTheme="minorHAnsi" w:hAnsiTheme="minorHAnsi" w:cstheme="minorHAnsi"/>
          <w:sz w:val="22"/>
          <w:szCs w:val="22"/>
          <w:highlight w:val="yellow"/>
        </w:rPr>
      </w:pPr>
    </w:p>
    <w:p w14:paraId="6646D7E5" w14:textId="77777777" w:rsidR="003F3F56" w:rsidRPr="00321EB5" w:rsidRDefault="003F3F56" w:rsidP="00D74EB5">
      <w:pPr>
        <w:jc w:val="both"/>
        <w:rPr>
          <w:rFonts w:asciiTheme="minorHAnsi" w:hAnsiTheme="minorHAnsi" w:cstheme="minorHAnsi"/>
          <w:sz w:val="22"/>
          <w:szCs w:val="22"/>
          <w:highlight w:val="yellow"/>
        </w:rPr>
      </w:pPr>
    </w:p>
    <w:p w14:paraId="7FD52BAD" w14:textId="7B7998E6" w:rsidR="00E63416" w:rsidRDefault="00E63416" w:rsidP="000A591E">
      <w:pPr>
        <w:jc w:val="both"/>
        <w:rPr>
          <w:rFonts w:asciiTheme="minorHAnsi" w:hAnsiTheme="minorHAnsi" w:cstheme="minorHAnsi"/>
          <w:b/>
          <w:sz w:val="22"/>
          <w:szCs w:val="22"/>
        </w:rPr>
      </w:pPr>
    </w:p>
    <w:p w14:paraId="2FF994E5" w14:textId="77777777" w:rsidR="0065588F" w:rsidRDefault="0065588F" w:rsidP="000A591E">
      <w:pPr>
        <w:jc w:val="both"/>
        <w:rPr>
          <w:rFonts w:asciiTheme="minorHAnsi" w:hAnsiTheme="minorHAnsi" w:cstheme="minorHAnsi"/>
          <w:b/>
          <w:sz w:val="22"/>
          <w:szCs w:val="22"/>
        </w:rPr>
      </w:pPr>
    </w:p>
    <w:p w14:paraId="1EC7695E" w14:textId="77777777" w:rsidR="0065588F" w:rsidRPr="005C3886" w:rsidRDefault="0065588F" w:rsidP="000A591E">
      <w:pPr>
        <w:jc w:val="both"/>
        <w:rPr>
          <w:rFonts w:asciiTheme="minorHAnsi" w:hAnsiTheme="minorHAnsi" w:cstheme="minorHAnsi"/>
          <w:b/>
          <w:sz w:val="22"/>
          <w:szCs w:val="22"/>
        </w:rPr>
      </w:pPr>
    </w:p>
    <w:p w14:paraId="6321F8E4" w14:textId="77777777" w:rsidR="000A591E" w:rsidRPr="005C3886" w:rsidRDefault="00E63416" w:rsidP="000A591E">
      <w:pPr>
        <w:pStyle w:val="Titre1"/>
        <w:rPr>
          <w:rStyle w:val="Accentuation"/>
        </w:rPr>
      </w:pPr>
      <w:r w:rsidRPr="005C3886">
        <w:rPr>
          <w:rStyle w:val="Accentuation"/>
        </w:rPr>
        <w:lastRenderedPageBreak/>
        <w:t>7</w:t>
      </w:r>
      <w:r w:rsidR="000A591E" w:rsidRPr="005C3886">
        <w:rPr>
          <w:rStyle w:val="Accentuation"/>
        </w:rPr>
        <w:t>. Communication</w:t>
      </w:r>
    </w:p>
    <w:p w14:paraId="29561B95" w14:textId="77777777" w:rsidR="000A591E" w:rsidRPr="005C3886" w:rsidRDefault="000A591E" w:rsidP="000A591E">
      <w:pPr>
        <w:jc w:val="both"/>
        <w:rPr>
          <w:rStyle w:val="Accentuation"/>
          <w:rFonts w:asciiTheme="minorHAnsi" w:hAnsiTheme="minorHAnsi" w:cstheme="minorHAnsi"/>
          <w:i w:val="0"/>
          <w:sz w:val="22"/>
          <w:szCs w:val="22"/>
        </w:rPr>
      </w:pPr>
    </w:p>
    <w:p w14:paraId="676CEFB4" w14:textId="77777777" w:rsidR="000A591E" w:rsidRPr="005D4127" w:rsidRDefault="000A591E" w:rsidP="000A591E">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Indicateurs :</w:t>
      </w:r>
    </w:p>
    <w:p w14:paraId="5934BEA8" w14:textId="77777777" w:rsidR="000A591E" w:rsidRPr="005D4127"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5D4127" w14:paraId="2FE1B4DB" w14:textId="77777777" w:rsidTr="004E4D64">
        <w:trPr>
          <w:trHeight w:val="81"/>
        </w:trPr>
        <w:tc>
          <w:tcPr>
            <w:tcW w:w="4675" w:type="dxa"/>
          </w:tcPr>
          <w:p w14:paraId="57830CF2"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Nombre de pièces publiées</w:t>
            </w:r>
          </w:p>
        </w:tc>
        <w:tc>
          <w:tcPr>
            <w:tcW w:w="4356" w:type="dxa"/>
          </w:tcPr>
          <w:p w14:paraId="5994788E"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461AE65D" w14:textId="77777777" w:rsidTr="004E4D64">
        <w:trPr>
          <w:trHeight w:val="274"/>
        </w:trPr>
        <w:tc>
          <w:tcPr>
            <w:tcW w:w="4675" w:type="dxa"/>
          </w:tcPr>
          <w:p w14:paraId="00E4042A"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Télévision</w:t>
            </w:r>
          </w:p>
        </w:tc>
        <w:tc>
          <w:tcPr>
            <w:tcW w:w="4356" w:type="dxa"/>
          </w:tcPr>
          <w:p w14:paraId="46806120"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054B33BE" w14:textId="77777777" w:rsidTr="004E4D64">
        <w:trPr>
          <w:trHeight w:val="274"/>
        </w:trPr>
        <w:tc>
          <w:tcPr>
            <w:tcW w:w="4675" w:type="dxa"/>
          </w:tcPr>
          <w:p w14:paraId="110445A5"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Internet</w:t>
            </w:r>
          </w:p>
        </w:tc>
        <w:tc>
          <w:tcPr>
            <w:tcW w:w="4356" w:type="dxa"/>
          </w:tcPr>
          <w:p w14:paraId="6BF085D5"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0BE2447A" w14:textId="77777777" w:rsidTr="004E4D64">
        <w:trPr>
          <w:trHeight w:val="274"/>
        </w:trPr>
        <w:tc>
          <w:tcPr>
            <w:tcW w:w="4675" w:type="dxa"/>
          </w:tcPr>
          <w:p w14:paraId="310CC123"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Presse écrite</w:t>
            </w:r>
          </w:p>
        </w:tc>
        <w:tc>
          <w:tcPr>
            <w:tcW w:w="4356" w:type="dxa"/>
          </w:tcPr>
          <w:p w14:paraId="515A2FA2"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13A3B37B" w14:textId="77777777" w:rsidTr="004E4D64">
        <w:trPr>
          <w:trHeight w:val="274"/>
        </w:trPr>
        <w:tc>
          <w:tcPr>
            <w:tcW w:w="4675" w:type="dxa"/>
          </w:tcPr>
          <w:p w14:paraId="0269C202"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Radio</w:t>
            </w:r>
          </w:p>
        </w:tc>
        <w:tc>
          <w:tcPr>
            <w:tcW w:w="4356" w:type="dxa"/>
          </w:tcPr>
          <w:p w14:paraId="2E44775B"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bl>
    <w:p w14:paraId="0A2942DD" w14:textId="77777777" w:rsidR="000A591E" w:rsidRPr="005D4127" w:rsidRDefault="000A591E" w:rsidP="000A591E">
      <w:pPr>
        <w:jc w:val="both"/>
        <w:rPr>
          <w:rStyle w:val="Accentuation"/>
          <w:rFonts w:asciiTheme="minorHAnsi" w:hAnsiTheme="minorHAnsi" w:cstheme="minorHAnsi"/>
          <w:i w:val="0"/>
          <w:sz w:val="22"/>
          <w:szCs w:val="22"/>
        </w:rPr>
      </w:pPr>
    </w:p>
    <w:p w14:paraId="6BF6CF35" w14:textId="5E170137" w:rsidR="00237F08" w:rsidRPr="005D4127" w:rsidRDefault="00237F08" w:rsidP="00237F08">
      <w:pPr>
        <w:spacing w:after="240" w:line="276" w:lineRule="auto"/>
        <w:jc w:val="both"/>
        <w:rPr>
          <w:rFonts w:asciiTheme="minorHAnsi" w:hAnsiTheme="minorHAnsi" w:cstheme="minorHAnsi"/>
          <w:iCs/>
          <w:sz w:val="22"/>
          <w:szCs w:val="22"/>
        </w:rPr>
      </w:pPr>
      <w:bookmarkStart w:id="1" w:name="_Toc330025956"/>
      <w:bookmarkStart w:id="2" w:name="_Toc7774931"/>
      <w:r w:rsidRPr="005D4127">
        <w:rPr>
          <w:rFonts w:asciiTheme="minorHAnsi" w:hAnsiTheme="minorHAnsi" w:cstheme="minorHAnsi"/>
          <w:iCs/>
          <w:sz w:val="22"/>
          <w:szCs w:val="22"/>
        </w:rPr>
        <w:t xml:space="preserve">Au cours du mois </w:t>
      </w:r>
      <w:r w:rsidR="00633768">
        <w:rPr>
          <w:rFonts w:asciiTheme="minorHAnsi" w:hAnsiTheme="minorHAnsi" w:cstheme="minorHAnsi"/>
          <w:iCs/>
          <w:sz w:val="22"/>
          <w:szCs w:val="22"/>
        </w:rPr>
        <w:t xml:space="preserve">de </w:t>
      </w:r>
      <w:r w:rsidR="00C917E0">
        <w:rPr>
          <w:rFonts w:asciiTheme="minorHAnsi" w:hAnsiTheme="minorHAnsi" w:cstheme="minorHAnsi"/>
          <w:iCs/>
          <w:sz w:val="22"/>
          <w:szCs w:val="22"/>
        </w:rPr>
        <w:t>juillet</w:t>
      </w:r>
      <w:r w:rsidRPr="005D4127">
        <w:rPr>
          <w:rFonts w:asciiTheme="minorHAnsi" w:hAnsiTheme="minorHAnsi" w:cstheme="minorHAnsi"/>
          <w:iCs/>
          <w:sz w:val="22"/>
          <w:szCs w:val="22"/>
        </w:rPr>
        <w:t xml:space="preserve"> 202</w:t>
      </w:r>
      <w:r w:rsidR="005D4127">
        <w:rPr>
          <w:rFonts w:asciiTheme="minorHAnsi" w:hAnsiTheme="minorHAnsi" w:cstheme="minorHAnsi"/>
          <w:iCs/>
          <w:sz w:val="22"/>
          <w:szCs w:val="22"/>
        </w:rPr>
        <w:t>1</w:t>
      </w:r>
      <w:r w:rsidRPr="005D4127">
        <w:rPr>
          <w:rFonts w:asciiTheme="minorHAnsi" w:hAnsiTheme="minorHAnsi" w:cstheme="minorHAnsi"/>
          <w:iCs/>
          <w:sz w:val="22"/>
          <w:szCs w:val="22"/>
        </w:rPr>
        <w:t xml:space="preserve">, le projet ALEFI n’a produit aucune pièce médiatique. Les anciens articles sont disponibles sur plusieurs médias, et notamment sur </w:t>
      </w:r>
      <w:hyperlink r:id="rId12" w:history="1">
        <w:r w:rsidRPr="005D4127">
          <w:rPr>
            <w:rStyle w:val="Lienhypertexte"/>
            <w:rFonts w:asciiTheme="minorHAnsi" w:hAnsiTheme="minorHAnsi" w:cstheme="minorHAnsi"/>
            <w:iCs/>
            <w:sz w:val="22"/>
            <w:szCs w:val="22"/>
          </w:rPr>
          <w:t>le site Internet</w:t>
        </w:r>
      </w:hyperlink>
      <w:r w:rsidRPr="005D4127">
        <w:rPr>
          <w:rFonts w:asciiTheme="minorHAnsi" w:hAnsiTheme="minorHAnsi" w:cstheme="minorHAnsi"/>
          <w:iCs/>
          <w:sz w:val="22"/>
          <w:szCs w:val="22"/>
        </w:rPr>
        <w:t xml:space="preserve">, la </w:t>
      </w:r>
      <w:hyperlink r:id="rId13" w:history="1">
        <w:r w:rsidRPr="001021DD">
          <w:rPr>
            <w:rStyle w:val="Lienhypertexte"/>
            <w:rFonts w:asciiTheme="minorHAnsi" w:hAnsiTheme="minorHAnsi" w:cstheme="minorHAnsi"/>
            <w:iCs/>
            <w:sz w:val="22"/>
            <w:szCs w:val="22"/>
          </w:rPr>
          <w:t>page Facebook</w:t>
        </w:r>
      </w:hyperlink>
      <w:r w:rsidRPr="005D4127">
        <w:rPr>
          <w:rFonts w:asciiTheme="minorHAnsi" w:hAnsiTheme="minorHAnsi" w:cstheme="minorHAnsi"/>
          <w:iCs/>
          <w:sz w:val="22"/>
          <w:szCs w:val="22"/>
        </w:rPr>
        <w:t xml:space="preserve"> et la </w:t>
      </w:r>
      <w:hyperlink r:id="rId14" w:history="1">
        <w:r w:rsidRPr="001021DD">
          <w:rPr>
            <w:rStyle w:val="Lienhypertexte"/>
            <w:rFonts w:asciiTheme="minorHAnsi" w:hAnsiTheme="minorHAnsi" w:cstheme="minorHAnsi"/>
            <w:iCs/>
            <w:sz w:val="22"/>
            <w:szCs w:val="22"/>
          </w:rPr>
          <w:t>chaine YouTube</w:t>
        </w:r>
      </w:hyperlink>
      <w:r w:rsidR="00B84B18">
        <w:rPr>
          <w:rStyle w:val="Lienhypertexte"/>
          <w:rFonts w:asciiTheme="minorHAnsi" w:hAnsiTheme="minorHAnsi" w:cstheme="minorHAnsi"/>
          <w:iCs/>
          <w:sz w:val="22"/>
          <w:szCs w:val="22"/>
        </w:rPr>
        <w:t xml:space="preserve"> </w:t>
      </w:r>
      <w:r w:rsidR="005D4127">
        <w:rPr>
          <w:rFonts w:asciiTheme="minorHAnsi" w:hAnsiTheme="minorHAnsi" w:cstheme="minorHAnsi"/>
          <w:iCs/>
          <w:sz w:val="22"/>
          <w:szCs w:val="22"/>
        </w:rPr>
        <w:t>de Conservation Justice</w:t>
      </w:r>
      <w:r w:rsidRPr="005D4127">
        <w:rPr>
          <w:rFonts w:asciiTheme="minorHAnsi" w:hAnsiTheme="minorHAnsi" w:cstheme="minorHAnsi"/>
          <w:iCs/>
          <w:sz w:val="22"/>
          <w:szCs w:val="22"/>
        </w:rPr>
        <w:t>.</w:t>
      </w:r>
    </w:p>
    <w:p w14:paraId="7678038F" w14:textId="77777777" w:rsidR="00237F08" w:rsidRPr="00BA3F50" w:rsidRDefault="00237F08" w:rsidP="00237F08">
      <w:pPr>
        <w:spacing w:line="276" w:lineRule="auto"/>
        <w:jc w:val="both"/>
        <w:rPr>
          <w:rFonts w:asciiTheme="minorHAnsi" w:hAnsiTheme="minorHAnsi" w:cstheme="minorHAnsi"/>
          <w:iCs/>
          <w:color w:val="000000" w:themeColor="text1"/>
          <w:sz w:val="22"/>
          <w:szCs w:val="22"/>
          <w:highlight w:val="yellow"/>
          <w:lang w:val="fr-FR"/>
        </w:rPr>
      </w:pPr>
    </w:p>
    <w:p w14:paraId="752D86F2" w14:textId="77777777" w:rsidR="000A591E" w:rsidRPr="005C3886" w:rsidRDefault="000A591E" w:rsidP="000A591E">
      <w:pPr>
        <w:pStyle w:val="Titre1"/>
        <w:shd w:val="clear" w:color="auto" w:fill="000000" w:themeFill="text1"/>
        <w:rPr>
          <w:rStyle w:val="Accentuation"/>
        </w:rPr>
      </w:pPr>
      <w:r w:rsidRPr="005C3886">
        <w:rPr>
          <w:rStyle w:val="Accentuation"/>
        </w:rPr>
        <w:t>Relations extérieures</w:t>
      </w:r>
      <w:bookmarkEnd w:id="1"/>
      <w:bookmarkEnd w:id="2"/>
    </w:p>
    <w:p w14:paraId="6E9EF7CF" w14:textId="77777777" w:rsidR="000A591E" w:rsidRPr="005C3886" w:rsidRDefault="000A591E" w:rsidP="000A591E">
      <w:pPr>
        <w:rPr>
          <w:rFonts w:asciiTheme="minorHAnsi" w:hAnsiTheme="minorHAnsi" w:cstheme="minorHAnsi"/>
          <w:sz w:val="22"/>
          <w:szCs w:val="22"/>
          <w:lang w:val="fr-CH" w:bidi="he-IL"/>
        </w:rPr>
      </w:pPr>
    </w:p>
    <w:p w14:paraId="6395B0D1" w14:textId="7BD2476E" w:rsidR="0012564C" w:rsidRPr="00321EB5" w:rsidRDefault="00B84B18" w:rsidP="0012564C">
      <w:pPr>
        <w:spacing w:after="240"/>
        <w:jc w:val="both"/>
        <w:rPr>
          <w:rStyle w:val="Accentuation"/>
          <w:rFonts w:asciiTheme="minorHAnsi" w:hAnsiTheme="minorHAnsi" w:cstheme="minorHAnsi"/>
          <w:b/>
          <w:i w:val="0"/>
          <w:sz w:val="22"/>
          <w:szCs w:val="22"/>
        </w:rPr>
      </w:pPr>
      <w:r w:rsidRPr="00F307ED">
        <w:rPr>
          <w:rStyle w:val="Accentuation"/>
          <w:rFonts w:asciiTheme="minorHAnsi" w:hAnsiTheme="minorHAnsi" w:cstheme="minorHAnsi"/>
          <w:b/>
          <w:sz w:val="22"/>
          <w:szCs w:val="22"/>
        </w:rPr>
        <w:t>Indicateurs</w:t>
      </w:r>
      <w:r w:rsidRPr="005058A0">
        <w:rPr>
          <w:rStyle w:val="Accentuation"/>
          <w:rFonts w:asciiTheme="minorHAnsi" w:hAnsiTheme="minorHAnsi" w:cstheme="minorHAnsi"/>
          <w:b/>
          <w:sz w:val="22"/>
          <w:szCs w:val="22"/>
        </w:rPr>
        <w:t xml:space="preserve"> :</w:t>
      </w:r>
    </w:p>
    <w:tbl>
      <w:tblPr>
        <w:tblStyle w:val="Grilledetableauclaire1"/>
        <w:tblW w:w="0" w:type="auto"/>
        <w:tblLook w:val="04A0" w:firstRow="1" w:lastRow="0" w:firstColumn="1" w:lastColumn="0" w:noHBand="0" w:noVBand="1"/>
      </w:tblPr>
      <w:tblGrid>
        <w:gridCol w:w="4350"/>
        <w:gridCol w:w="4380"/>
      </w:tblGrid>
      <w:tr w:rsidR="0012564C" w:rsidRPr="00321EB5" w14:paraId="6F94B553" w14:textId="77777777" w:rsidTr="004E4D64">
        <w:trPr>
          <w:trHeight w:val="323"/>
        </w:trPr>
        <w:tc>
          <w:tcPr>
            <w:tcW w:w="4350" w:type="dxa"/>
          </w:tcPr>
          <w:p w14:paraId="00AD1C12" w14:textId="77777777" w:rsidR="0012564C" w:rsidRPr="00321EB5" w:rsidRDefault="0012564C" w:rsidP="004E4D64">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sz w:val="22"/>
                <w:szCs w:val="22"/>
              </w:rPr>
              <w:t>Nombre de rencontres</w:t>
            </w:r>
          </w:p>
        </w:tc>
        <w:tc>
          <w:tcPr>
            <w:tcW w:w="4380" w:type="dxa"/>
          </w:tcPr>
          <w:p w14:paraId="0C1A7F5C" w14:textId="3C84C4A8" w:rsidR="0012564C" w:rsidRPr="005058A0" w:rsidRDefault="00F307ED" w:rsidP="004E4D64">
            <w:pPr>
              <w:jc w:val="center"/>
              <w:rPr>
                <w:rStyle w:val="Accentuation"/>
                <w:rFonts w:asciiTheme="minorHAnsi" w:hAnsiTheme="minorHAnsi" w:cstheme="minorHAnsi"/>
                <w:iCs w:val="0"/>
                <w:sz w:val="22"/>
                <w:szCs w:val="22"/>
              </w:rPr>
            </w:pPr>
            <w:r>
              <w:rPr>
                <w:rStyle w:val="Accentuation"/>
                <w:rFonts w:asciiTheme="minorHAnsi" w:hAnsiTheme="minorHAnsi" w:cstheme="minorHAnsi"/>
                <w:iCs w:val="0"/>
                <w:sz w:val="22"/>
                <w:szCs w:val="22"/>
              </w:rPr>
              <w:t>15</w:t>
            </w:r>
          </w:p>
        </w:tc>
      </w:tr>
      <w:tr w:rsidR="0012564C" w:rsidRPr="00321EB5" w14:paraId="020D933D" w14:textId="77777777" w:rsidTr="004E4D64">
        <w:trPr>
          <w:trHeight w:val="323"/>
        </w:trPr>
        <w:tc>
          <w:tcPr>
            <w:tcW w:w="4350" w:type="dxa"/>
          </w:tcPr>
          <w:p w14:paraId="36FD32BE" w14:textId="77777777" w:rsidR="0012564C" w:rsidRPr="00321EB5" w:rsidRDefault="0012564C" w:rsidP="004E4D64">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sz w:val="22"/>
                <w:szCs w:val="22"/>
              </w:rPr>
              <w:t>Suivi de l’accord de collaboration</w:t>
            </w:r>
            <w:r w:rsidRPr="00321EB5">
              <w:rPr>
                <w:rStyle w:val="Accentuation"/>
                <w:rFonts w:asciiTheme="minorHAnsi" w:hAnsiTheme="minorHAnsi" w:cstheme="minorHAnsi"/>
                <w:sz w:val="22"/>
                <w:szCs w:val="22"/>
              </w:rPr>
              <w:tab/>
            </w:r>
          </w:p>
        </w:tc>
        <w:tc>
          <w:tcPr>
            <w:tcW w:w="4380" w:type="dxa"/>
          </w:tcPr>
          <w:p w14:paraId="2A906F61" w14:textId="5E3C6B2A" w:rsidR="0012564C" w:rsidRPr="005058A0" w:rsidRDefault="00F307ED" w:rsidP="007E6179">
            <w:pPr>
              <w:jc w:val="center"/>
              <w:rPr>
                <w:rStyle w:val="Accentuation"/>
                <w:rFonts w:asciiTheme="minorHAnsi" w:hAnsiTheme="minorHAnsi" w:cstheme="minorHAnsi"/>
                <w:iCs w:val="0"/>
                <w:sz w:val="22"/>
                <w:szCs w:val="22"/>
              </w:rPr>
            </w:pPr>
            <w:r>
              <w:rPr>
                <w:rStyle w:val="Accentuation"/>
                <w:rFonts w:asciiTheme="minorHAnsi" w:hAnsiTheme="minorHAnsi" w:cstheme="minorHAnsi"/>
                <w:iCs w:val="0"/>
                <w:sz w:val="22"/>
                <w:szCs w:val="22"/>
              </w:rPr>
              <w:t>15</w:t>
            </w:r>
          </w:p>
        </w:tc>
      </w:tr>
      <w:tr w:rsidR="0012564C" w:rsidRPr="00321EB5" w14:paraId="1B8FD2B6" w14:textId="77777777" w:rsidTr="004E4D64">
        <w:trPr>
          <w:trHeight w:val="297"/>
        </w:trPr>
        <w:tc>
          <w:tcPr>
            <w:tcW w:w="4350" w:type="dxa"/>
            <w:vAlign w:val="center"/>
          </w:tcPr>
          <w:p w14:paraId="5DD64B13" w14:textId="77777777" w:rsidR="0012564C" w:rsidRPr="00321EB5" w:rsidRDefault="0012564C" w:rsidP="004E4D64">
            <w:pPr>
              <w:rPr>
                <w:rStyle w:val="Accentuation"/>
                <w:rFonts w:asciiTheme="minorHAnsi" w:hAnsiTheme="minorHAnsi" w:cstheme="minorHAnsi"/>
                <w:i w:val="0"/>
                <w:sz w:val="22"/>
                <w:szCs w:val="22"/>
              </w:rPr>
            </w:pPr>
            <w:r w:rsidRPr="00321EB5">
              <w:rPr>
                <w:rStyle w:val="Accentuation"/>
                <w:rFonts w:asciiTheme="minorHAnsi" w:hAnsiTheme="minorHAnsi" w:cstheme="minorHAnsi"/>
                <w:sz w:val="22"/>
                <w:szCs w:val="22"/>
              </w:rPr>
              <w:t>Collaboration sur affaires</w:t>
            </w:r>
          </w:p>
        </w:tc>
        <w:tc>
          <w:tcPr>
            <w:tcW w:w="4380" w:type="dxa"/>
            <w:vAlign w:val="center"/>
          </w:tcPr>
          <w:p w14:paraId="010AEF6D" w14:textId="434699F9" w:rsidR="0012564C" w:rsidRPr="005058A0" w:rsidRDefault="00F307ED" w:rsidP="004E4D64">
            <w:pPr>
              <w:jc w:val="center"/>
              <w:rPr>
                <w:rStyle w:val="Accentuation"/>
                <w:rFonts w:asciiTheme="minorHAnsi" w:hAnsiTheme="minorHAnsi" w:cstheme="minorHAnsi"/>
                <w:iCs w:val="0"/>
                <w:sz w:val="22"/>
                <w:szCs w:val="22"/>
              </w:rPr>
            </w:pPr>
            <w:r>
              <w:rPr>
                <w:rStyle w:val="Accentuation"/>
                <w:rFonts w:asciiTheme="minorHAnsi" w:hAnsiTheme="minorHAnsi" w:cstheme="minorHAnsi"/>
                <w:iCs w:val="0"/>
                <w:sz w:val="22"/>
                <w:szCs w:val="22"/>
              </w:rPr>
              <w:t>0</w:t>
            </w:r>
          </w:p>
        </w:tc>
      </w:tr>
    </w:tbl>
    <w:p w14:paraId="779346BD" w14:textId="77777777" w:rsidR="0012564C" w:rsidRPr="00321EB5" w:rsidRDefault="0012564C" w:rsidP="0012564C">
      <w:pPr>
        <w:spacing w:line="276" w:lineRule="auto"/>
        <w:jc w:val="both"/>
        <w:rPr>
          <w:rStyle w:val="Accentuation"/>
          <w:rFonts w:asciiTheme="minorHAnsi" w:hAnsiTheme="minorHAnsi" w:cstheme="minorHAnsi"/>
          <w:i w:val="0"/>
          <w:iCs w:val="0"/>
          <w:sz w:val="22"/>
          <w:szCs w:val="22"/>
        </w:rPr>
      </w:pPr>
    </w:p>
    <w:p w14:paraId="680DB5F5" w14:textId="6B754A51" w:rsidR="00C81609" w:rsidRPr="002047CB" w:rsidRDefault="00C81609" w:rsidP="00C81609">
      <w:pPr>
        <w:spacing w:line="276" w:lineRule="auto"/>
        <w:jc w:val="both"/>
        <w:rPr>
          <w:rStyle w:val="Accentuation"/>
          <w:rFonts w:asciiTheme="minorHAnsi" w:hAnsiTheme="minorHAnsi" w:cstheme="minorHAnsi"/>
          <w:i w:val="0"/>
          <w:sz w:val="22"/>
          <w:szCs w:val="22"/>
        </w:rPr>
      </w:pPr>
      <w:r w:rsidRPr="00587AA8">
        <w:rPr>
          <w:rStyle w:val="Accentuation"/>
          <w:rFonts w:asciiTheme="minorHAnsi" w:hAnsiTheme="minorHAnsi" w:cstheme="minorHAnsi"/>
          <w:i w:val="0"/>
          <w:sz w:val="22"/>
          <w:szCs w:val="22"/>
        </w:rPr>
        <w:t>Le projet ALEFI a tenu plusieurs rencontres av</w:t>
      </w:r>
      <w:r w:rsidR="007E6179" w:rsidRPr="00587AA8">
        <w:rPr>
          <w:rStyle w:val="Accentuation"/>
          <w:rFonts w:asciiTheme="minorHAnsi" w:hAnsiTheme="minorHAnsi" w:cstheme="minorHAnsi"/>
          <w:i w:val="0"/>
          <w:sz w:val="22"/>
          <w:szCs w:val="22"/>
        </w:rPr>
        <w:t>ec les communautés villageoises et</w:t>
      </w:r>
      <w:r w:rsidRPr="00587AA8">
        <w:rPr>
          <w:rStyle w:val="Accentuation"/>
          <w:rFonts w:asciiTheme="minorHAnsi" w:hAnsiTheme="minorHAnsi" w:cstheme="minorHAnsi"/>
          <w:i w:val="0"/>
          <w:sz w:val="22"/>
          <w:szCs w:val="22"/>
        </w:rPr>
        <w:t xml:space="preserve"> les autorités </w:t>
      </w:r>
      <w:r w:rsidRPr="002047CB">
        <w:rPr>
          <w:rStyle w:val="Accentuation"/>
          <w:rFonts w:asciiTheme="minorHAnsi" w:hAnsiTheme="minorHAnsi" w:cstheme="minorHAnsi"/>
          <w:i w:val="0"/>
          <w:sz w:val="22"/>
          <w:szCs w:val="22"/>
        </w:rPr>
        <w:t xml:space="preserve">administratives dans </w:t>
      </w:r>
      <w:r w:rsidR="002047CB" w:rsidRPr="002047CB">
        <w:rPr>
          <w:rStyle w:val="Accentuation"/>
          <w:rFonts w:asciiTheme="minorHAnsi" w:hAnsiTheme="minorHAnsi" w:cstheme="minorHAnsi"/>
          <w:i w:val="0"/>
          <w:sz w:val="22"/>
          <w:szCs w:val="22"/>
        </w:rPr>
        <w:t>la province de l’Ogooué</w:t>
      </w:r>
      <w:r w:rsidR="00587AA8" w:rsidRPr="002047CB">
        <w:rPr>
          <w:rStyle w:val="Accentuation"/>
          <w:rFonts w:asciiTheme="minorHAnsi" w:hAnsiTheme="minorHAnsi" w:cstheme="minorHAnsi"/>
          <w:i w:val="0"/>
          <w:sz w:val="22"/>
          <w:szCs w:val="22"/>
        </w:rPr>
        <w:t xml:space="preserve"> Ivindo</w:t>
      </w:r>
      <w:r w:rsidR="002047CB" w:rsidRPr="002047CB">
        <w:rPr>
          <w:rStyle w:val="Accentuation"/>
          <w:rFonts w:asciiTheme="minorHAnsi" w:hAnsiTheme="minorHAnsi" w:cstheme="minorHAnsi"/>
          <w:i w:val="0"/>
          <w:sz w:val="22"/>
          <w:szCs w:val="22"/>
        </w:rPr>
        <w:t>.</w:t>
      </w:r>
      <w:r w:rsidR="00587AA8" w:rsidRPr="002047CB">
        <w:rPr>
          <w:rStyle w:val="Accentuation"/>
          <w:rFonts w:asciiTheme="minorHAnsi" w:hAnsiTheme="minorHAnsi" w:cstheme="minorHAnsi"/>
          <w:i w:val="0"/>
          <w:sz w:val="22"/>
          <w:szCs w:val="22"/>
        </w:rPr>
        <w:t xml:space="preserve"> </w:t>
      </w:r>
    </w:p>
    <w:p w14:paraId="710A72CF" w14:textId="77777777" w:rsidR="00C81609" w:rsidRPr="002047CB" w:rsidRDefault="00C81609" w:rsidP="00C81609">
      <w:pPr>
        <w:jc w:val="both"/>
        <w:rPr>
          <w:rStyle w:val="Accentuation"/>
          <w:rFonts w:asciiTheme="minorHAnsi" w:hAnsiTheme="minorHAnsi" w:cstheme="minorHAnsi"/>
          <w:i w:val="0"/>
          <w:sz w:val="22"/>
          <w:szCs w:val="22"/>
        </w:rPr>
      </w:pPr>
    </w:p>
    <w:p w14:paraId="16C9AABB" w14:textId="3963AD33" w:rsidR="000449C3" w:rsidRPr="00F307ED" w:rsidRDefault="00C81609" w:rsidP="000A591E">
      <w:pPr>
        <w:jc w:val="both"/>
        <w:rPr>
          <w:rFonts w:asciiTheme="minorHAnsi" w:hAnsiTheme="minorHAnsi" w:cstheme="minorHAnsi"/>
          <w:iCs/>
          <w:sz w:val="22"/>
          <w:szCs w:val="22"/>
        </w:rPr>
      </w:pPr>
      <w:r w:rsidRPr="002047CB">
        <w:rPr>
          <w:rStyle w:val="Accentuation"/>
          <w:rFonts w:asciiTheme="minorHAnsi" w:hAnsiTheme="minorHAnsi" w:cstheme="minorHAnsi"/>
          <w:i w:val="0"/>
          <w:sz w:val="22"/>
          <w:szCs w:val="22"/>
        </w:rPr>
        <w:t>En effet, l</w:t>
      </w:r>
      <w:r w:rsidR="002047CB" w:rsidRPr="002047CB">
        <w:rPr>
          <w:rStyle w:val="Accentuation"/>
          <w:rFonts w:asciiTheme="minorHAnsi" w:hAnsiTheme="minorHAnsi" w:cstheme="minorHAnsi"/>
          <w:i w:val="0"/>
          <w:sz w:val="22"/>
          <w:szCs w:val="22"/>
        </w:rPr>
        <w:t>’</w:t>
      </w:r>
      <w:r w:rsidRPr="002047CB">
        <w:rPr>
          <w:rStyle w:val="Accentuation"/>
          <w:rFonts w:asciiTheme="minorHAnsi" w:hAnsiTheme="minorHAnsi" w:cstheme="minorHAnsi"/>
          <w:i w:val="0"/>
          <w:sz w:val="22"/>
          <w:szCs w:val="22"/>
        </w:rPr>
        <w:t>équipe sociale</w:t>
      </w:r>
      <w:r w:rsidR="002047CB" w:rsidRPr="002047CB">
        <w:rPr>
          <w:rStyle w:val="Accentuation"/>
          <w:rFonts w:asciiTheme="minorHAnsi" w:hAnsiTheme="minorHAnsi" w:cstheme="minorHAnsi"/>
          <w:i w:val="0"/>
          <w:sz w:val="22"/>
          <w:szCs w:val="22"/>
        </w:rPr>
        <w:t xml:space="preserve"> de Brainforest a</w:t>
      </w:r>
      <w:r w:rsidRPr="002047CB">
        <w:rPr>
          <w:rStyle w:val="Accentuation"/>
          <w:rFonts w:asciiTheme="minorHAnsi" w:hAnsiTheme="minorHAnsi" w:cstheme="minorHAnsi"/>
          <w:i w:val="0"/>
          <w:sz w:val="22"/>
          <w:szCs w:val="22"/>
        </w:rPr>
        <w:t xml:space="preserve"> rencontré entre autres les communautés locales dans </w:t>
      </w:r>
      <w:r w:rsidR="002047CB" w:rsidRPr="002047CB">
        <w:rPr>
          <w:rStyle w:val="Accentuation"/>
          <w:rFonts w:asciiTheme="minorHAnsi" w:hAnsiTheme="minorHAnsi" w:cstheme="minorHAnsi"/>
          <w:i w:val="0"/>
          <w:sz w:val="22"/>
          <w:szCs w:val="22"/>
        </w:rPr>
        <w:t>13</w:t>
      </w:r>
      <w:r w:rsidRPr="002047CB">
        <w:rPr>
          <w:rStyle w:val="Accentuation"/>
          <w:rFonts w:asciiTheme="minorHAnsi" w:hAnsiTheme="minorHAnsi" w:cstheme="minorHAnsi"/>
          <w:i w:val="0"/>
          <w:sz w:val="22"/>
          <w:szCs w:val="22"/>
        </w:rPr>
        <w:t xml:space="preserve"> villages</w:t>
      </w:r>
      <w:r w:rsidR="00F307ED">
        <w:rPr>
          <w:rStyle w:val="Accentuation"/>
          <w:rFonts w:asciiTheme="minorHAnsi" w:hAnsiTheme="minorHAnsi" w:cstheme="minorHAnsi"/>
          <w:i w:val="0"/>
          <w:sz w:val="22"/>
          <w:szCs w:val="22"/>
        </w:rPr>
        <w:t xml:space="preserve">. Elle a également rendu visite au préfet du </w:t>
      </w:r>
      <w:r w:rsidR="00F307ED">
        <w:rPr>
          <w:rStyle w:val="Accentuation"/>
          <w:rFonts w:asciiTheme="minorHAnsi" w:hAnsiTheme="minorHAnsi" w:cstheme="minorHAnsi"/>
          <w:i w:val="0"/>
          <w:sz w:val="22"/>
          <w:szCs w:val="22"/>
        </w:rPr>
        <w:t>département de la Lopé</w:t>
      </w:r>
      <w:r w:rsidR="00F307ED">
        <w:rPr>
          <w:rStyle w:val="Accentuation"/>
          <w:rFonts w:asciiTheme="minorHAnsi" w:hAnsiTheme="minorHAnsi" w:cstheme="minorHAnsi"/>
          <w:i w:val="0"/>
          <w:sz w:val="22"/>
          <w:szCs w:val="22"/>
        </w:rPr>
        <w:t>, ainsi qu’à la responsable du volet social de Rougier Gabon.</w:t>
      </w:r>
    </w:p>
    <w:p w14:paraId="51A78C1E" w14:textId="77777777" w:rsidR="00C043C8" w:rsidRPr="005C3886" w:rsidRDefault="00C043C8" w:rsidP="000A591E">
      <w:pPr>
        <w:jc w:val="both"/>
        <w:rPr>
          <w:rStyle w:val="Accentuation"/>
          <w:rFonts w:asciiTheme="minorHAnsi" w:hAnsiTheme="minorHAnsi" w:cstheme="minorHAnsi"/>
          <w:i w:val="0"/>
          <w:iCs w:val="0"/>
          <w:sz w:val="22"/>
          <w:szCs w:val="22"/>
        </w:rPr>
      </w:pPr>
    </w:p>
    <w:p w14:paraId="23B73FFB" w14:textId="77777777" w:rsidR="000A591E" w:rsidRPr="005C3886" w:rsidRDefault="00E63416" w:rsidP="000A591E">
      <w:pPr>
        <w:pStyle w:val="Titre1"/>
        <w:rPr>
          <w:rStyle w:val="Accentuation"/>
        </w:rPr>
      </w:pPr>
      <w:bookmarkStart w:id="3" w:name="_Toc7774932"/>
      <w:r w:rsidRPr="005C3886">
        <w:rPr>
          <w:rStyle w:val="Accentuation"/>
        </w:rPr>
        <w:t>8</w:t>
      </w:r>
      <w:r w:rsidR="000A591E" w:rsidRPr="005C3886">
        <w:rPr>
          <w:rStyle w:val="Accentuation"/>
        </w:rPr>
        <w:t>. Conclusion</w:t>
      </w:r>
      <w:bookmarkEnd w:id="3"/>
    </w:p>
    <w:p w14:paraId="481E34EF" w14:textId="77777777" w:rsidR="00AD4D12" w:rsidRPr="005C3886" w:rsidRDefault="00AD4D12" w:rsidP="000A591E">
      <w:pPr>
        <w:jc w:val="both"/>
        <w:rPr>
          <w:rStyle w:val="Accentuation"/>
          <w:rFonts w:asciiTheme="minorHAnsi" w:hAnsiTheme="minorHAnsi" w:cstheme="minorHAnsi"/>
          <w:i w:val="0"/>
          <w:sz w:val="22"/>
          <w:szCs w:val="22"/>
        </w:rPr>
      </w:pPr>
    </w:p>
    <w:p w14:paraId="49E189DE" w14:textId="2139D822" w:rsidR="00F15F87" w:rsidRPr="00F307ED" w:rsidRDefault="00C2147B" w:rsidP="00C2147B">
      <w:pPr>
        <w:jc w:val="both"/>
        <w:rPr>
          <w:rStyle w:val="Accentuation"/>
          <w:rFonts w:asciiTheme="minorHAnsi" w:hAnsiTheme="minorHAnsi" w:cstheme="minorHAnsi"/>
          <w:b/>
          <w:i w:val="0"/>
          <w:sz w:val="22"/>
          <w:szCs w:val="22"/>
        </w:rPr>
      </w:pPr>
      <w:r w:rsidRPr="00F307ED">
        <w:rPr>
          <w:rStyle w:val="Accentuation"/>
          <w:rFonts w:asciiTheme="minorHAnsi" w:hAnsiTheme="minorHAnsi" w:cstheme="minorHAnsi"/>
          <w:i w:val="0"/>
          <w:sz w:val="22"/>
          <w:szCs w:val="22"/>
        </w:rPr>
        <w:t>Pour les missions de sensibi</w:t>
      </w:r>
      <w:r w:rsidR="00EC0804" w:rsidRPr="00F307ED">
        <w:rPr>
          <w:rStyle w:val="Accentuation"/>
          <w:rFonts w:asciiTheme="minorHAnsi" w:hAnsiTheme="minorHAnsi" w:cstheme="minorHAnsi"/>
          <w:i w:val="0"/>
          <w:sz w:val="22"/>
          <w:szCs w:val="22"/>
        </w:rPr>
        <w:t xml:space="preserve">lisation et </w:t>
      </w:r>
      <w:r w:rsidR="00423EFB" w:rsidRPr="00F307ED">
        <w:rPr>
          <w:rStyle w:val="Accentuation"/>
          <w:rFonts w:asciiTheme="minorHAnsi" w:hAnsiTheme="minorHAnsi" w:cstheme="minorHAnsi"/>
          <w:i w:val="0"/>
          <w:sz w:val="22"/>
          <w:szCs w:val="22"/>
        </w:rPr>
        <w:t xml:space="preserve">d’investigations, </w:t>
      </w:r>
      <w:r w:rsidR="00F307ED" w:rsidRPr="00F307ED">
        <w:rPr>
          <w:rStyle w:val="Accentuation"/>
          <w:rFonts w:asciiTheme="minorHAnsi" w:hAnsiTheme="minorHAnsi" w:cstheme="minorHAnsi"/>
          <w:i w:val="0"/>
          <w:sz w:val="22"/>
          <w:szCs w:val="22"/>
        </w:rPr>
        <w:t>13</w:t>
      </w:r>
      <w:r w:rsidRPr="00F307ED">
        <w:rPr>
          <w:rStyle w:val="Accentuation"/>
          <w:rFonts w:asciiTheme="minorHAnsi" w:hAnsiTheme="minorHAnsi" w:cstheme="minorHAnsi"/>
          <w:i w:val="0"/>
          <w:sz w:val="22"/>
          <w:szCs w:val="22"/>
        </w:rPr>
        <w:t xml:space="preserve"> villages ont é</w:t>
      </w:r>
      <w:r w:rsidR="00350464" w:rsidRPr="00F307ED">
        <w:rPr>
          <w:rStyle w:val="Accentuation"/>
          <w:rFonts w:asciiTheme="minorHAnsi" w:hAnsiTheme="minorHAnsi" w:cstheme="minorHAnsi"/>
          <w:i w:val="0"/>
          <w:sz w:val="22"/>
          <w:szCs w:val="22"/>
        </w:rPr>
        <w:t>té visités par l</w:t>
      </w:r>
      <w:r w:rsidR="00F307ED" w:rsidRPr="00F307ED">
        <w:rPr>
          <w:rStyle w:val="Accentuation"/>
          <w:rFonts w:asciiTheme="minorHAnsi" w:hAnsiTheme="minorHAnsi" w:cstheme="minorHAnsi"/>
          <w:i w:val="0"/>
          <w:sz w:val="22"/>
          <w:szCs w:val="22"/>
        </w:rPr>
        <w:t>’</w:t>
      </w:r>
      <w:r w:rsidR="00B84B18" w:rsidRPr="00F307ED">
        <w:rPr>
          <w:rStyle w:val="Accentuation"/>
          <w:rFonts w:asciiTheme="minorHAnsi" w:hAnsiTheme="minorHAnsi" w:cstheme="minorHAnsi"/>
          <w:i w:val="0"/>
          <w:sz w:val="22"/>
          <w:szCs w:val="22"/>
        </w:rPr>
        <w:t>équipe</w:t>
      </w:r>
      <w:r w:rsidR="00F307ED" w:rsidRPr="00F307ED">
        <w:rPr>
          <w:rStyle w:val="Accentuation"/>
          <w:rFonts w:asciiTheme="minorHAnsi" w:hAnsiTheme="minorHAnsi" w:cstheme="minorHAnsi"/>
          <w:i w:val="0"/>
          <w:sz w:val="22"/>
          <w:szCs w:val="22"/>
        </w:rPr>
        <w:t xml:space="preserve"> de Brainforest </w:t>
      </w:r>
      <w:r w:rsidR="00834D21" w:rsidRPr="00F307ED">
        <w:rPr>
          <w:rStyle w:val="Accentuation"/>
          <w:rFonts w:asciiTheme="minorHAnsi" w:hAnsiTheme="minorHAnsi" w:cstheme="minorHAnsi"/>
          <w:i w:val="0"/>
          <w:sz w:val="22"/>
          <w:szCs w:val="22"/>
        </w:rPr>
        <w:t>pour le mois de Juin</w:t>
      </w:r>
      <w:r w:rsidR="00F307ED">
        <w:rPr>
          <w:rStyle w:val="Accentuation"/>
          <w:rFonts w:asciiTheme="minorHAnsi" w:hAnsiTheme="minorHAnsi" w:cstheme="minorHAnsi"/>
          <w:i w:val="0"/>
          <w:sz w:val="22"/>
          <w:szCs w:val="22"/>
        </w:rPr>
        <w:t xml:space="preserve"> dans la province de l’Ogooué Ivindo.</w:t>
      </w:r>
    </w:p>
    <w:p w14:paraId="6C72E9B4" w14:textId="77777777" w:rsidR="00F15F87" w:rsidRPr="00F307ED" w:rsidRDefault="00F15F87" w:rsidP="00C2147B">
      <w:pPr>
        <w:jc w:val="both"/>
        <w:rPr>
          <w:rStyle w:val="Accentuation"/>
          <w:rFonts w:asciiTheme="minorHAnsi" w:hAnsiTheme="minorHAnsi" w:cstheme="minorHAnsi"/>
          <w:b/>
          <w:i w:val="0"/>
          <w:sz w:val="22"/>
          <w:szCs w:val="22"/>
        </w:rPr>
      </w:pPr>
    </w:p>
    <w:p w14:paraId="7B325D29" w14:textId="4DDE7CE2" w:rsidR="007A6986" w:rsidRDefault="00C2147B" w:rsidP="00F307ED">
      <w:pPr>
        <w:jc w:val="both"/>
        <w:rPr>
          <w:rStyle w:val="Accentuation"/>
          <w:rFonts w:asciiTheme="minorHAnsi" w:hAnsiTheme="minorHAnsi" w:cstheme="minorHAnsi"/>
          <w:i w:val="0"/>
          <w:sz w:val="22"/>
          <w:szCs w:val="22"/>
        </w:rPr>
      </w:pPr>
      <w:r w:rsidRPr="00F307ED">
        <w:rPr>
          <w:rStyle w:val="Accentuation"/>
          <w:rFonts w:asciiTheme="minorHAnsi" w:hAnsiTheme="minorHAnsi" w:cstheme="minorHAnsi"/>
          <w:i w:val="0"/>
          <w:sz w:val="22"/>
          <w:szCs w:val="22"/>
        </w:rPr>
        <w:t>De manièr</w:t>
      </w:r>
      <w:r w:rsidR="004474D4" w:rsidRPr="00F307ED">
        <w:rPr>
          <w:rStyle w:val="Accentuation"/>
          <w:rFonts w:asciiTheme="minorHAnsi" w:hAnsiTheme="minorHAnsi" w:cstheme="minorHAnsi"/>
          <w:i w:val="0"/>
          <w:sz w:val="22"/>
          <w:szCs w:val="22"/>
        </w:rPr>
        <w:t>e générale</w:t>
      </w:r>
      <w:r w:rsidR="00500ACB" w:rsidRPr="00F307ED">
        <w:rPr>
          <w:rStyle w:val="Accentuation"/>
          <w:rFonts w:asciiTheme="minorHAnsi" w:hAnsiTheme="minorHAnsi" w:cstheme="minorHAnsi"/>
          <w:i w:val="0"/>
          <w:sz w:val="22"/>
          <w:szCs w:val="22"/>
        </w:rPr>
        <w:t>, l</w:t>
      </w:r>
      <w:r w:rsidR="007A6986" w:rsidRPr="00F307ED">
        <w:rPr>
          <w:rStyle w:val="Accentuation"/>
          <w:rFonts w:asciiTheme="minorHAnsi" w:hAnsiTheme="minorHAnsi" w:cstheme="minorHAnsi"/>
          <w:i w:val="0"/>
          <w:sz w:val="22"/>
          <w:szCs w:val="22"/>
        </w:rPr>
        <w:t>a mission</w:t>
      </w:r>
      <w:r w:rsidR="00116F98" w:rsidRPr="00F307ED">
        <w:rPr>
          <w:rStyle w:val="Accentuation"/>
          <w:rFonts w:asciiTheme="minorHAnsi" w:hAnsiTheme="minorHAnsi" w:cstheme="minorHAnsi"/>
          <w:i w:val="0"/>
          <w:sz w:val="22"/>
          <w:szCs w:val="22"/>
        </w:rPr>
        <w:t xml:space="preserve"> d’évaluation</w:t>
      </w:r>
      <w:r w:rsidR="007A6986" w:rsidRPr="00F307ED">
        <w:rPr>
          <w:rStyle w:val="Accentuation"/>
          <w:rFonts w:asciiTheme="minorHAnsi" w:hAnsiTheme="minorHAnsi" w:cstheme="minorHAnsi"/>
          <w:i w:val="0"/>
          <w:sz w:val="22"/>
          <w:szCs w:val="22"/>
        </w:rPr>
        <w:t xml:space="preserve"> s’est</w:t>
      </w:r>
      <w:r w:rsidR="009216DB" w:rsidRPr="00F307ED">
        <w:rPr>
          <w:rStyle w:val="Accentuation"/>
          <w:rFonts w:asciiTheme="minorHAnsi" w:hAnsiTheme="minorHAnsi" w:cstheme="minorHAnsi"/>
          <w:i w:val="0"/>
          <w:sz w:val="22"/>
          <w:szCs w:val="22"/>
        </w:rPr>
        <w:t xml:space="preserve"> bien</w:t>
      </w:r>
      <w:r w:rsidR="007A6986" w:rsidRPr="00F307ED">
        <w:rPr>
          <w:rStyle w:val="Accentuation"/>
          <w:rFonts w:asciiTheme="minorHAnsi" w:hAnsiTheme="minorHAnsi" w:cstheme="minorHAnsi"/>
          <w:i w:val="0"/>
          <w:sz w:val="22"/>
          <w:szCs w:val="22"/>
        </w:rPr>
        <w:t xml:space="preserve"> déroulée</w:t>
      </w:r>
      <w:r w:rsidR="009216DB" w:rsidRPr="00F307ED">
        <w:rPr>
          <w:rStyle w:val="Accentuation"/>
          <w:rFonts w:asciiTheme="minorHAnsi" w:hAnsiTheme="minorHAnsi" w:cstheme="minorHAnsi"/>
          <w:i w:val="0"/>
          <w:sz w:val="22"/>
          <w:szCs w:val="22"/>
        </w:rPr>
        <w:t xml:space="preserve">. </w:t>
      </w:r>
      <w:r w:rsidR="00F307ED" w:rsidRPr="00F307ED">
        <w:rPr>
          <w:rStyle w:val="Accentuation"/>
          <w:rFonts w:asciiTheme="minorHAnsi" w:hAnsiTheme="minorHAnsi" w:cstheme="minorHAnsi"/>
          <w:i w:val="0"/>
          <w:sz w:val="22"/>
          <w:szCs w:val="22"/>
        </w:rPr>
        <w:t>On</w:t>
      </w:r>
      <w:r w:rsidR="00F307ED">
        <w:rPr>
          <w:rStyle w:val="Accentuation"/>
          <w:rFonts w:asciiTheme="minorHAnsi" w:hAnsiTheme="minorHAnsi" w:cstheme="minorHAnsi"/>
          <w:i w:val="0"/>
          <w:sz w:val="22"/>
          <w:szCs w:val="22"/>
        </w:rPr>
        <w:t xml:space="preserve"> remarque que les forêts communautaires présentent souvent des problèmes de gestion interne, mais également des différents avec les exploitations forestières voisines. </w:t>
      </w:r>
    </w:p>
    <w:p w14:paraId="1D96A391" w14:textId="5717019C" w:rsidR="00F307ED" w:rsidRDefault="00F307ED" w:rsidP="00F307ED">
      <w:pPr>
        <w:jc w:val="both"/>
        <w:rPr>
          <w:rStyle w:val="Accentuation"/>
          <w:rFonts w:asciiTheme="minorHAnsi" w:hAnsiTheme="minorHAnsi" w:cstheme="minorHAnsi"/>
          <w:i w:val="0"/>
          <w:sz w:val="22"/>
          <w:szCs w:val="22"/>
        </w:rPr>
      </w:pPr>
    </w:p>
    <w:p w14:paraId="28A5B0FD" w14:textId="562E3906" w:rsidR="00F307ED" w:rsidRPr="0095409F" w:rsidRDefault="00F307ED" w:rsidP="00F307ED">
      <w:pPr>
        <w:jc w:val="both"/>
        <w:rPr>
          <w:rFonts w:asciiTheme="minorHAnsi" w:hAnsiTheme="minorHAnsi" w:cstheme="minorHAnsi"/>
          <w:iCs/>
          <w:sz w:val="22"/>
          <w:szCs w:val="22"/>
        </w:rPr>
      </w:pPr>
      <w:r>
        <w:rPr>
          <w:rStyle w:val="Accentuation"/>
          <w:rFonts w:asciiTheme="minorHAnsi" w:hAnsiTheme="minorHAnsi" w:cstheme="minorHAnsi"/>
          <w:i w:val="0"/>
          <w:sz w:val="22"/>
          <w:szCs w:val="22"/>
        </w:rPr>
        <w:t>La mise en œuvre des CCC demande encore d’être mieux suivie par le CGSP et l’opérateur.</w:t>
      </w:r>
    </w:p>
    <w:p w14:paraId="562CF3A4" w14:textId="77777777" w:rsidR="009F5E6A" w:rsidRPr="005C3886" w:rsidRDefault="009F5E6A" w:rsidP="00C2147B">
      <w:pPr>
        <w:jc w:val="both"/>
        <w:rPr>
          <w:rFonts w:asciiTheme="minorHAnsi" w:hAnsiTheme="minorHAnsi" w:cstheme="minorHAnsi"/>
          <w:iCs/>
          <w:sz w:val="22"/>
          <w:szCs w:val="22"/>
        </w:rPr>
      </w:pPr>
    </w:p>
    <w:sectPr w:rsidR="009F5E6A" w:rsidRPr="005C3886"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183F" w14:textId="77777777" w:rsidR="00D11554" w:rsidRDefault="00D11554" w:rsidP="00CC204D">
      <w:r>
        <w:separator/>
      </w:r>
    </w:p>
  </w:endnote>
  <w:endnote w:type="continuationSeparator" w:id="0">
    <w:p w14:paraId="2F34640F" w14:textId="77777777" w:rsidR="00D11554" w:rsidRDefault="00D11554"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A33B" w14:textId="77777777" w:rsidR="00F24455" w:rsidRDefault="00F24455">
    <w:pPr>
      <w:shd w:val="clear" w:color="auto" w:fill="FFFFFF"/>
      <w:spacing w:before="120"/>
      <w:jc w:val="center"/>
      <w:rPr>
        <w:sz w:val="16"/>
        <w:szCs w:val="20"/>
        <w:lang w:val="fr-FR"/>
      </w:rPr>
    </w:pPr>
    <w:r>
      <w:rPr>
        <w:sz w:val="16"/>
        <w:szCs w:val="20"/>
        <w:lang w:val="fr-FR"/>
      </w:rPr>
      <w:t>Conservation Justice | BP 23903 Libreville | +241 074 23 38 65</w:t>
    </w:r>
  </w:p>
  <w:p w14:paraId="7683FB60" w14:textId="77777777" w:rsidR="00F24455" w:rsidRDefault="00F24455">
    <w:pPr>
      <w:shd w:val="clear" w:color="auto" w:fill="FFFFFF"/>
      <w:spacing w:after="240"/>
      <w:jc w:val="center"/>
      <w:rPr>
        <w:sz w:val="16"/>
        <w:szCs w:val="20"/>
        <w:lang w:val="fr-FR"/>
      </w:rPr>
    </w:pPr>
    <w:r>
      <w:rPr>
        <w:sz w:val="16"/>
        <w:szCs w:val="20"/>
        <w:lang w:val="fr-FR"/>
      </w:rPr>
      <w:t>luc@conservation-justice.org | www.conservation-justice.org</w:t>
    </w:r>
  </w:p>
  <w:p w14:paraId="404F9646" w14:textId="77777777" w:rsidR="00F24455" w:rsidRDefault="00F24455" w:rsidP="00427387">
    <w:pPr>
      <w:pStyle w:val="Pieddepage"/>
      <w:jc w:val="right"/>
    </w:pPr>
    <w:r>
      <w:rPr>
        <w:lang w:val="fr-FR"/>
      </w:rPr>
      <w:t xml:space="preserve">Page </w:t>
    </w:r>
    <w:r w:rsidR="007F23D3">
      <w:rPr>
        <w:b/>
        <w:bCs/>
      </w:rPr>
      <w:fldChar w:fldCharType="begin"/>
    </w:r>
    <w:r>
      <w:rPr>
        <w:b/>
        <w:bCs/>
      </w:rPr>
      <w:instrText>PAGE</w:instrText>
    </w:r>
    <w:r w:rsidR="007F23D3">
      <w:rPr>
        <w:b/>
        <w:bCs/>
      </w:rPr>
      <w:fldChar w:fldCharType="separate"/>
    </w:r>
    <w:r w:rsidR="009533A7">
      <w:rPr>
        <w:b/>
        <w:bCs/>
        <w:noProof/>
      </w:rPr>
      <w:t>6</w:t>
    </w:r>
    <w:r w:rsidR="007F23D3">
      <w:rPr>
        <w:b/>
        <w:bCs/>
      </w:rPr>
      <w:fldChar w:fldCharType="end"/>
    </w:r>
    <w:r>
      <w:rPr>
        <w:lang w:val="fr-FR"/>
      </w:rPr>
      <w:t xml:space="preserve"> sur </w:t>
    </w:r>
    <w:r w:rsidR="007F23D3">
      <w:rPr>
        <w:b/>
        <w:bCs/>
      </w:rPr>
      <w:fldChar w:fldCharType="begin"/>
    </w:r>
    <w:r>
      <w:rPr>
        <w:b/>
        <w:bCs/>
      </w:rPr>
      <w:instrText>NUMPAGES</w:instrText>
    </w:r>
    <w:r w:rsidR="007F23D3">
      <w:rPr>
        <w:b/>
        <w:bCs/>
      </w:rPr>
      <w:fldChar w:fldCharType="separate"/>
    </w:r>
    <w:r w:rsidR="009533A7">
      <w:rPr>
        <w:b/>
        <w:bCs/>
        <w:noProof/>
      </w:rPr>
      <w:t>6</w:t>
    </w:r>
    <w:r w:rsidR="007F23D3">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69E6" w14:textId="77777777" w:rsidR="00D11554" w:rsidRDefault="00D11554" w:rsidP="00CC204D">
      <w:r>
        <w:separator/>
      </w:r>
    </w:p>
  </w:footnote>
  <w:footnote w:type="continuationSeparator" w:id="0">
    <w:p w14:paraId="7D5C987F" w14:textId="77777777" w:rsidR="00D11554" w:rsidRDefault="00D11554"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1370" w14:textId="77777777" w:rsidR="00F24455" w:rsidRDefault="00F24455">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15:restartNumberingAfterBreak="0">
    <w:nsid w:val="3A4104E9"/>
    <w:multiLevelType w:val="hybridMultilevel"/>
    <w:tmpl w:val="4B94F03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887907"/>
    <w:multiLevelType w:val="hybridMultilevel"/>
    <w:tmpl w:val="D0D63B9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66FE745F"/>
    <w:multiLevelType w:val="hybridMultilevel"/>
    <w:tmpl w:val="347CF6F2"/>
    <w:lvl w:ilvl="0" w:tplc="0E262154">
      <w:start w:val="1"/>
      <w:numFmt w:val="decimal"/>
      <w:lvlText w:val="5.%1"/>
      <w:lvlJc w:val="righ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8"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CA2F36"/>
    <w:multiLevelType w:val="hybridMultilevel"/>
    <w:tmpl w:val="4C48C07A"/>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32"/>
  </w:num>
  <w:num w:numId="14">
    <w:abstractNumId w:val="41"/>
  </w:num>
  <w:num w:numId="15">
    <w:abstractNumId w:val="24"/>
  </w:num>
  <w:num w:numId="16">
    <w:abstractNumId w:val="25"/>
  </w:num>
  <w:num w:numId="17">
    <w:abstractNumId w:val="44"/>
  </w:num>
  <w:num w:numId="18">
    <w:abstractNumId w:val="29"/>
  </w:num>
  <w:num w:numId="19">
    <w:abstractNumId w:val="38"/>
  </w:num>
  <w:num w:numId="20">
    <w:abstractNumId w:val="31"/>
  </w:num>
  <w:num w:numId="21">
    <w:abstractNumId w:val="42"/>
  </w:num>
  <w:num w:numId="22">
    <w:abstractNumId w:val="16"/>
  </w:num>
  <w:num w:numId="23">
    <w:abstractNumId w:val="36"/>
  </w:num>
  <w:num w:numId="24">
    <w:abstractNumId w:val="21"/>
  </w:num>
  <w:num w:numId="25">
    <w:abstractNumId w:val="18"/>
  </w:num>
  <w:num w:numId="26">
    <w:abstractNumId w:val="20"/>
  </w:num>
  <w:num w:numId="27">
    <w:abstractNumId w:val="17"/>
  </w:num>
  <w:num w:numId="28">
    <w:abstractNumId w:val="11"/>
  </w:num>
  <w:num w:numId="29">
    <w:abstractNumId w:val="13"/>
  </w:num>
  <w:num w:numId="30">
    <w:abstractNumId w:val="28"/>
  </w:num>
  <w:num w:numId="31">
    <w:abstractNumId w:val="27"/>
  </w:num>
  <w:num w:numId="32">
    <w:abstractNumId w:val="39"/>
  </w:num>
  <w:num w:numId="33">
    <w:abstractNumId w:val="35"/>
  </w:num>
  <w:num w:numId="34">
    <w:abstractNumId w:val="19"/>
  </w:num>
  <w:num w:numId="35">
    <w:abstractNumId w:val="43"/>
  </w:num>
  <w:num w:numId="36">
    <w:abstractNumId w:val="34"/>
  </w:num>
  <w:num w:numId="37">
    <w:abstractNumId w:val="12"/>
  </w:num>
  <w:num w:numId="38">
    <w:abstractNumId w:val="33"/>
  </w:num>
  <w:num w:numId="39">
    <w:abstractNumId w:val="14"/>
  </w:num>
  <w:num w:numId="40">
    <w:abstractNumId w:val="30"/>
  </w:num>
  <w:num w:numId="41">
    <w:abstractNumId w:val="45"/>
  </w:num>
  <w:num w:numId="42">
    <w:abstractNumId w:val="15"/>
  </w:num>
  <w:num w:numId="43">
    <w:abstractNumId w:val="26"/>
  </w:num>
  <w:num w:numId="44">
    <w:abstractNumId w:val="23"/>
  </w:num>
  <w:num w:numId="45">
    <w:abstractNumId w:val="37"/>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04D"/>
    <w:rsid w:val="0000449A"/>
    <w:rsid w:val="00004ECF"/>
    <w:rsid w:val="00007655"/>
    <w:rsid w:val="00010B3B"/>
    <w:rsid w:val="00012515"/>
    <w:rsid w:val="00030F82"/>
    <w:rsid w:val="00031F08"/>
    <w:rsid w:val="00032EC3"/>
    <w:rsid w:val="000337DB"/>
    <w:rsid w:val="00036660"/>
    <w:rsid w:val="0003666B"/>
    <w:rsid w:val="00037CAE"/>
    <w:rsid w:val="0004009C"/>
    <w:rsid w:val="000449C3"/>
    <w:rsid w:val="000453DD"/>
    <w:rsid w:val="0005249B"/>
    <w:rsid w:val="0005789E"/>
    <w:rsid w:val="000624E8"/>
    <w:rsid w:val="00062961"/>
    <w:rsid w:val="000642E2"/>
    <w:rsid w:val="00066A05"/>
    <w:rsid w:val="000706A6"/>
    <w:rsid w:val="000706DB"/>
    <w:rsid w:val="000736DA"/>
    <w:rsid w:val="00073DF9"/>
    <w:rsid w:val="000742F1"/>
    <w:rsid w:val="000744CD"/>
    <w:rsid w:val="00077DF3"/>
    <w:rsid w:val="000806A3"/>
    <w:rsid w:val="00080BCA"/>
    <w:rsid w:val="00084CA1"/>
    <w:rsid w:val="0008660D"/>
    <w:rsid w:val="00091C1A"/>
    <w:rsid w:val="000939F4"/>
    <w:rsid w:val="000A11E5"/>
    <w:rsid w:val="000A206A"/>
    <w:rsid w:val="000A2582"/>
    <w:rsid w:val="000A278B"/>
    <w:rsid w:val="000A450D"/>
    <w:rsid w:val="000A591E"/>
    <w:rsid w:val="000A6201"/>
    <w:rsid w:val="000B1F63"/>
    <w:rsid w:val="000C0836"/>
    <w:rsid w:val="000C2A36"/>
    <w:rsid w:val="000C3DE7"/>
    <w:rsid w:val="000C47A4"/>
    <w:rsid w:val="000C5944"/>
    <w:rsid w:val="000D2D7C"/>
    <w:rsid w:val="000D58D1"/>
    <w:rsid w:val="000E06F5"/>
    <w:rsid w:val="000E7479"/>
    <w:rsid w:val="000F6E6F"/>
    <w:rsid w:val="000F7AAA"/>
    <w:rsid w:val="001021DD"/>
    <w:rsid w:val="00102D72"/>
    <w:rsid w:val="001043E2"/>
    <w:rsid w:val="00107CD2"/>
    <w:rsid w:val="00110F99"/>
    <w:rsid w:val="001117ED"/>
    <w:rsid w:val="0011588E"/>
    <w:rsid w:val="00115B11"/>
    <w:rsid w:val="00116F98"/>
    <w:rsid w:val="00117CBB"/>
    <w:rsid w:val="001225AB"/>
    <w:rsid w:val="001231E8"/>
    <w:rsid w:val="00123432"/>
    <w:rsid w:val="0012379D"/>
    <w:rsid w:val="00124799"/>
    <w:rsid w:val="0012564C"/>
    <w:rsid w:val="00127608"/>
    <w:rsid w:val="001317E5"/>
    <w:rsid w:val="00133FBF"/>
    <w:rsid w:val="0013488C"/>
    <w:rsid w:val="00136682"/>
    <w:rsid w:val="00141D67"/>
    <w:rsid w:val="00142019"/>
    <w:rsid w:val="001420CC"/>
    <w:rsid w:val="00142E73"/>
    <w:rsid w:val="00144D99"/>
    <w:rsid w:val="00151CB6"/>
    <w:rsid w:val="001554F9"/>
    <w:rsid w:val="0016100B"/>
    <w:rsid w:val="00161B55"/>
    <w:rsid w:val="0016589B"/>
    <w:rsid w:val="00170E60"/>
    <w:rsid w:val="00172A5E"/>
    <w:rsid w:val="001742E4"/>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96753"/>
    <w:rsid w:val="001A026B"/>
    <w:rsid w:val="001A5563"/>
    <w:rsid w:val="001B01BE"/>
    <w:rsid w:val="001B0483"/>
    <w:rsid w:val="001B2607"/>
    <w:rsid w:val="001B5E06"/>
    <w:rsid w:val="001B7190"/>
    <w:rsid w:val="001C416F"/>
    <w:rsid w:val="001C4CB6"/>
    <w:rsid w:val="001C6ED0"/>
    <w:rsid w:val="001C7C5E"/>
    <w:rsid w:val="001D0C3E"/>
    <w:rsid w:val="001D3943"/>
    <w:rsid w:val="001D4081"/>
    <w:rsid w:val="001D5779"/>
    <w:rsid w:val="001E5760"/>
    <w:rsid w:val="001E66F2"/>
    <w:rsid w:val="001F460B"/>
    <w:rsid w:val="001F7E90"/>
    <w:rsid w:val="001F7FB4"/>
    <w:rsid w:val="00201A84"/>
    <w:rsid w:val="002026C4"/>
    <w:rsid w:val="002047CB"/>
    <w:rsid w:val="002068FC"/>
    <w:rsid w:val="0020712D"/>
    <w:rsid w:val="00210DD6"/>
    <w:rsid w:val="002164AA"/>
    <w:rsid w:val="00217083"/>
    <w:rsid w:val="00217806"/>
    <w:rsid w:val="00217DC1"/>
    <w:rsid w:val="00220406"/>
    <w:rsid w:val="00220446"/>
    <w:rsid w:val="0022233E"/>
    <w:rsid w:val="002248B4"/>
    <w:rsid w:val="00225103"/>
    <w:rsid w:val="002260DB"/>
    <w:rsid w:val="00227748"/>
    <w:rsid w:val="00234D76"/>
    <w:rsid w:val="00236954"/>
    <w:rsid w:val="00237F08"/>
    <w:rsid w:val="002408B0"/>
    <w:rsid w:val="00241328"/>
    <w:rsid w:val="00245803"/>
    <w:rsid w:val="002469AC"/>
    <w:rsid w:val="00251165"/>
    <w:rsid w:val="002614D1"/>
    <w:rsid w:val="0026215B"/>
    <w:rsid w:val="002637B1"/>
    <w:rsid w:val="002642F0"/>
    <w:rsid w:val="00265371"/>
    <w:rsid w:val="00267393"/>
    <w:rsid w:val="002708EA"/>
    <w:rsid w:val="0027392E"/>
    <w:rsid w:val="0027622F"/>
    <w:rsid w:val="00277ADC"/>
    <w:rsid w:val="0028191D"/>
    <w:rsid w:val="00290525"/>
    <w:rsid w:val="00297614"/>
    <w:rsid w:val="002A0006"/>
    <w:rsid w:val="002A1F5B"/>
    <w:rsid w:val="002A297A"/>
    <w:rsid w:val="002A419F"/>
    <w:rsid w:val="002A5834"/>
    <w:rsid w:val="002C1553"/>
    <w:rsid w:val="002C7F48"/>
    <w:rsid w:val="002D1676"/>
    <w:rsid w:val="002D7D17"/>
    <w:rsid w:val="002E36E2"/>
    <w:rsid w:val="002E4CFC"/>
    <w:rsid w:val="002E6DC4"/>
    <w:rsid w:val="002F285F"/>
    <w:rsid w:val="002F2C00"/>
    <w:rsid w:val="002F39B1"/>
    <w:rsid w:val="002F6162"/>
    <w:rsid w:val="002F631A"/>
    <w:rsid w:val="003012F6"/>
    <w:rsid w:val="00303F9C"/>
    <w:rsid w:val="00306EFF"/>
    <w:rsid w:val="003132D1"/>
    <w:rsid w:val="00314217"/>
    <w:rsid w:val="003154A5"/>
    <w:rsid w:val="00316063"/>
    <w:rsid w:val="003168E4"/>
    <w:rsid w:val="00316DD4"/>
    <w:rsid w:val="0032053F"/>
    <w:rsid w:val="00321EB5"/>
    <w:rsid w:val="00322A8A"/>
    <w:rsid w:val="0032402B"/>
    <w:rsid w:val="00330C62"/>
    <w:rsid w:val="00332808"/>
    <w:rsid w:val="00333AE7"/>
    <w:rsid w:val="00340578"/>
    <w:rsid w:val="00350464"/>
    <w:rsid w:val="003516E9"/>
    <w:rsid w:val="00352759"/>
    <w:rsid w:val="00355769"/>
    <w:rsid w:val="003563BB"/>
    <w:rsid w:val="003602C0"/>
    <w:rsid w:val="00360F89"/>
    <w:rsid w:val="00362E99"/>
    <w:rsid w:val="00364198"/>
    <w:rsid w:val="00364F4C"/>
    <w:rsid w:val="00370365"/>
    <w:rsid w:val="00370AB5"/>
    <w:rsid w:val="00370F9C"/>
    <w:rsid w:val="00373572"/>
    <w:rsid w:val="00373D61"/>
    <w:rsid w:val="003746D9"/>
    <w:rsid w:val="00377CC7"/>
    <w:rsid w:val="00381EF8"/>
    <w:rsid w:val="00382734"/>
    <w:rsid w:val="003841DE"/>
    <w:rsid w:val="003856C5"/>
    <w:rsid w:val="00385C81"/>
    <w:rsid w:val="003865FB"/>
    <w:rsid w:val="00386721"/>
    <w:rsid w:val="00393532"/>
    <w:rsid w:val="00393F47"/>
    <w:rsid w:val="003A52F4"/>
    <w:rsid w:val="003A5C22"/>
    <w:rsid w:val="003A657A"/>
    <w:rsid w:val="003A79AA"/>
    <w:rsid w:val="003A7F1F"/>
    <w:rsid w:val="003B50F7"/>
    <w:rsid w:val="003B55D7"/>
    <w:rsid w:val="003C0487"/>
    <w:rsid w:val="003C159F"/>
    <w:rsid w:val="003C2A49"/>
    <w:rsid w:val="003C41C4"/>
    <w:rsid w:val="003C70DB"/>
    <w:rsid w:val="003D00D5"/>
    <w:rsid w:val="003D39E3"/>
    <w:rsid w:val="003D6A97"/>
    <w:rsid w:val="003D7509"/>
    <w:rsid w:val="003E623A"/>
    <w:rsid w:val="003F11F9"/>
    <w:rsid w:val="003F3F56"/>
    <w:rsid w:val="003F5B0D"/>
    <w:rsid w:val="003F7034"/>
    <w:rsid w:val="004005FB"/>
    <w:rsid w:val="00401A5B"/>
    <w:rsid w:val="004048CF"/>
    <w:rsid w:val="00405980"/>
    <w:rsid w:val="00407809"/>
    <w:rsid w:val="0041010A"/>
    <w:rsid w:val="004138DD"/>
    <w:rsid w:val="0041481C"/>
    <w:rsid w:val="00415D56"/>
    <w:rsid w:val="004161D1"/>
    <w:rsid w:val="00416945"/>
    <w:rsid w:val="0042007A"/>
    <w:rsid w:val="00423893"/>
    <w:rsid w:val="00423920"/>
    <w:rsid w:val="00423BDA"/>
    <w:rsid w:val="00423EFB"/>
    <w:rsid w:val="0042518E"/>
    <w:rsid w:val="0042608C"/>
    <w:rsid w:val="0042718A"/>
    <w:rsid w:val="00427387"/>
    <w:rsid w:val="004306EF"/>
    <w:rsid w:val="0044039E"/>
    <w:rsid w:val="00440796"/>
    <w:rsid w:val="0044581C"/>
    <w:rsid w:val="00445FCB"/>
    <w:rsid w:val="004474D4"/>
    <w:rsid w:val="00447C4D"/>
    <w:rsid w:val="004534EB"/>
    <w:rsid w:val="0045362E"/>
    <w:rsid w:val="00454133"/>
    <w:rsid w:val="004553BA"/>
    <w:rsid w:val="00466999"/>
    <w:rsid w:val="00471970"/>
    <w:rsid w:val="004752F9"/>
    <w:rsid w:val="004776FD"/>
    <w:rsid w:val="00477C10"/>
    <w:rsid w:val="0048023C"/>
    <w:rsid w:val="00480BCD"/>
    <w:rsid w:val="00486D78"/>
    <w:rsid w:val="00487504"/>
    <w:rsid w:val="004877EE"/>
    <w:rsid w:val="00494536"/>
    <w:rsid w:val="00497459"/>
    <w:rsid w:val="00497A04"/>
    <w:rsid w:val="004A0846"/>
    <w:rsid w:val="004A1513"/>
    <w:rsid w:val="004A37E1"/>
    <w:rsid w:val="004A4487"/>
    <w:rsid w:val="004A53EF"/>
    <w:rsid w:val="004A6D06"/>
    <w:rsid w:val="004A7746"/>
    <w:rsid w:val="004B1B37"/>
    <w:rsid w:val="004B31D5"/>
    <w:rsid w:val="004B3390"/>
    <w:rsid w:val="004C0222"/>
    <w:rsid w:val="004C2744"/>
    <w:rsid w:val="004C59A1"/>
    <w:rsid w:val="004C67BE"/>
    <w:rsid w:val="004D5528"/>
    <w:rsid w:val="004E02F8"/>
    <w:rsid w:val="004E0D00"/>
    <w:rsid w:val="004E35D8"/>
    <w:rsid w:val="004E4D64"/>
    <w:rsid w:val="004E66E3"/>
    <w:rsid w:val="004F1A0F"/>
    <w:rsid w:val="004F3DF7"/>
    <w:rsid w:val="004F42F6"/>
    <w:rsid w:val="004F4E62"/>
    <w:rsid w:val="004F5A62"/>
    <w:rsid w:val="004F65C0"/>
    <w:rsid w:val="00500ACB"/>
    <w:rsid w:val="005010D7"/>
    <w:rsid w:val="0050262A"/>
    <w:rsid w:val="005058A0"/>
    <w:rsid w:val="0051124E"/>
    <w:rsid w:val="00520B9F"/>
    <w:rsid w:val="005219E9"/>
    <w:rsid w:val="005231F3"/>
    <w:rsid w:val="005241F2"/>
    <w:rsid w:val="005242EF"/>
    <w:rsid w:val="0053270A"/>
    <w:rsid w:val="00532B3A"/>
    <w:rsid w:val="005340A0"/>
    <w:rsid w:val="00541200"/>
    <w:rsid w:val="005419D8"/>
    <w:rsid w:val="00545CC3"/>
    <w:rsid w:val="005517F9"/>
    <w:rsid w:val="005579E3"/>
    <w:rsid w:val="0056232A"/>
    <w:rsid w:val="005647F4"/>
    <w:rsid w:val="00565A76"/>
    <w:rsid w:val="00566FA0"/>
    <w:rsid w:val="00570602"/>
    <w:rsid w:val="00572460"/>
    <w:rsid w:val="00572E1D"/>
    <w:rsid w:val="00575820"/>
    <w:rsid w:val="00576A12"/>
    <w:rsid w:val="00577CB2"/>
    <w:rsid w:val="00580C25"/>
    <w:rsid w:val="0058283A"/>
    <w:rsid w:val="00582BB1"/>
    <w:rsid w:val="00583BC3"/>
    <w:rsid w:val="00583D6C"/>
    <w:rsid w:val="00583D89"/>
    <w:rsid w:val="00586E2B"/>
    <w:rsid w:val="00587AA8"/>
    <w:rsid w:val="00590D27"/>
    <w:rsid w:val="005930A2"/>
    <w:rsid w:val="00593824"/>
    <w:rsid w:val="00596803"/>
    <w:rsid w:val="00597281"/>
    <w:rsid w:val="0059735E"/>
    <w:rsid w:val="005A2B8A"/>
    <w:rsid w:val="005B0F9A"/>
    <w:rsid w:val="005B1780"/>
    <w:rsid w:val="005B612E"/>
    <w:rsid w:val="005C3886"/>
    <w:rsid w:val="005D4127"/>
    <w:rsid w:val="005D5EB6"/>
    <w:rsid w:val="005E25D2"/>
    <w:rsid w:val="005E3068"/>
    <w:rsid w:val="005E3CD2"/>
    <w:rsid w:val="005E4294"/>
    <w:rsid w:val="005E43A6"/>
    <w:rsid w:val="005E4AD8"/>
    <w:rsid w:val="005E6AF9"/>
    <w:rsid w:val="005E7298"/>
    <w:rsid w:val="005F1219"/>
    <w:rsid w:val="005F79AE"/>
    <w:rsid w:val="005F7E68"/>
    <w:rsid w:val="00604487"/>
    <w:rsid w:val="006057C2"/>
    <w:rsid w:val="00607E50"/>
    <w:rsid w:val="00610CA0"/>
    <w:rsid w:val="00611CC2"/>
    <w:rsid w:val="006154BD"/>
    <w:rsid w:val="00617F65"/>
    <w:rsid w:val="00622FC5"/>
    <w:rsid w:val="00623BE6"/>
    <w:rsid w:val="00623E43"/>
    <w:rsid w:val="006271FF"/>
    <w:rsid w:val="00631BEC"/>
    <w:rsid w:val="00631C81"/>
    <w:rsid w:val="006328A9"/>
    <w:rsid w:val="00633768"/>
    <w:rsid w:val="00651B1B"/>
    <w:rsid w:val="00652C8D"/>
    <w:rsid w:val="006543AB"/>
    <w:rsid w:val="0065588F"/>
    <w:rsid w:val="00655B09"/>
    <w:rsid w:val="00655EA1"/>
    <w:rsid w:val="00657EA7"/>
    <w:rsid w:val="00663017"/>
    <w:rsid w:val="0066312A"/>
    <w:rsid w:val="006638F4"/>
    <w:rsid w:val="006672C0"/>
    <w:rsid w:val="00670541"/>
    <w:rsid w:val="00674D16"/>
    <w:rsid w:val="00675F37"/>
    <w:rsid w:val="00687027"/>
    <w:rsid w:val="0069271B"/>
    <w:rsid w:val="00692BF2"/>
    <w:rsid w:val="0069323D"/>
    <w:rsid w:val="00693716"/>
    <w:rsid w:val="00695894"/>
    <w:rsid w:val="006A04F3"/>
    <w:rsid w:val="006A314C"/>
    <w:rsid w:val="006A4CF8"/>
    <w:rsid w:val="006A575E"/>
    <w:rsid w:val="006B31C7"/>
    <w:rsid w:val="006B4583"/>
    <w:rsid w:val="006B5E31"/>
    <w:rsid w:val="006B7218"/>
    <w:rsid w:val="006B76B0"/>
    <w:rsid w:val="006C62C6"/>
    <w:rsid w:val="006D0C64"/>
    <w:rsid w:val="006D3519"/>
    <w:rsid w:val="006E006A"/>
    <w:rsid w:val="006E1EE1"/>
    <w:rsid w:val="006E350A"/>
    <w:rsid w:val="006E41AD"/>
    <w:rsid w:val="006E79C8"/>
    <w:rsid w:val="006F06B7"/>
    <w:rsid w:val="006F33EF"/>
    <w:rsid w:val="006F3B5E"/>
    <w:rsid w:val="006F5FD0"/>
    <w:rsid w:val="00705019"/>
    <w:rsid w:val="00707E5F"/>
    <w:rsid w:val="007106ED"/>
    <w:rsid w:val="00711D5F"/>
    <w:rsid w:val="00711EF6"/>
    <w:rsid w:val="00712509"/>
    <w:rsid w:val="00714C12"/>
    <w:rsid w:val="0072141F"/>
    <w:rsid w:val="00721AAA"/>
    <w:rsid w:val="0072395B"/>
    <w:rsid w:val="0073327C"/>
    <w:rsid w:val="007350B4"/>
    <w:rsid w:val="00736648"/>
    <w:rsid w:val="00737843"/>
    <w:rsid w:val="007421DF"/>
    <w:rsid w:val="00742BB8"/>
    <w:rsid w:val="007436AE"/>
    <w:rsid w:val="00745247"/>
    <w:rsid w:val="0074651B"/>
    <w:rsid w:val="0075152F"/>
    <w:rsid w:val="00751B9A"/>
    <w:rsid w:val="007520D1"/>
    <w:rsid w:val="0075210E"/>
    <w:rsid w:val="00752AE8"/>
    <w:rsid w:val="00752CBD"/>
    <w:rsid w:val="00755114"/>
    <w:rsid w:val="00756CB2"/>
    <w:rsid w:val="007605CE"/>
    <w:rsid w:val="00765758"/>
    <w:rsid w:val="00767BF5"/>
    <w:rsid w:val="00770F4A"/>
    <w:rsid w:val="0077111E"/>
    <w:rsid w:val="00771CB0"/>
    <w:rsid w:val="007746DA"/>
    <w:rsid w:val="007766D1"/>
    <w:rsid w:val="007816A2"/>
    <w:rsid w:val="00783DBD"/>
    <w:rsid w:val="0078419B"/>
    <w:rsid w:val="00790897"/>
    <w:rsid w:val="0079737D"/>
    <w:rsid w:val="007A0380"/>
    <w:rsid w:val="007A6560"/>
    <w:rsid w:val="007A6986"/>
    <w:rsid w:val="007A6CC6"/>
    <w:rsid w:val="007B5EE7"/>
    <w:rsid w:val="007C0F7C"/>
    <w:rsid w:val="007C412B"/>
    <w:rsid w:val="007C5E06"/>
    <w:rsid w:val="007C6735"/>
    <w:rsid w:val="007D0ED5"/>
    <w:rsid w:val="007D4C6D"/>
    <w:rsid w:val="007D7A74"/>
    <w:rsid w:val="007E6179"/>
    <w:rsid w:val="007E7838"/>
    <w:rsid w:val="007F23D3"/>
    <w:rsid w:val="007F6D17"/>
    <w:rsid w:val="00800FAF"/>
    <w:rsid w:val="00811AB5"/>
    <w:rsid w:val="00811F9E"/>
    <w:rsid w:val="008130F6"/>
    <w:rsid w:val="00813E78"/>
    <w:rsid w:val="00817442"/>
    <w:rsid w:val="008213BA"/>
    <w:rsid w:val="00826329"/>
    <w:rsid w:val="008272BF"/>
    <w:rsid w:val="00827EE9"/>
    <w:rsid w:val="00830B6B"/>
    <w:rsid w:val="00831BDD"/>
    <w:rsid w:val="00831EC1"/>
    <w:rsid w:val="00834D21"/>
    <w:rsid w:val="00835213"/>
    <w:rsid w:val="008404F6"/>
    <w:rsid w:val="00850180"/>
    <w:rsid w:val="00855B8F"/>
    <w:rsid w:val="0086463A"/>
    <w:rsid w:val="00866E64"/>
    <w:rsid w:val="008701A1"/>
    <w:rsid w:val="00880BC0"/>
    <w:rsid w:val="00881BCD"/>
    <w:rsid w:val="00885474"/>
    <w:rsid w:val="00893C78"/>
    <w:rsid w:val="008940FD"/>
    <w:rsid w:val="008A0DD2"/>
    <w:rsid w:val="008A4120"/>
    <w:rsid w:val="008A5574"/>
    <w:rsid w:val="008A5C42"/>
    <w:rsid w:val="008A7640"/>
    <w:rsid w:val="008B18DC"/>
    <w:rsid w:val="008B36FC"/>
    <w:rsid w:val="008B4F85"/>
    <w:rsid w:val="008B7063"/>
    <w:rsid w:val="008C3395"/>
    <w:rsid w:val="008C63DE"/>
    <w:rsid w:val="008C646C"/>
    <w:rsid w:val="008D0417"/>
    <w:rsid w:val="008D2766"/>
    <w:rsid w:val="008D6DAD"/>
    <w:rsid w:val="008E27E3"/>
    <w:rsid w:val="008E3D09"/>
    <w:rsid w:val="008E6654"/>
    <w:rsid w:val="008E7B0B"/>
    <w:rsid w:val="008F1F72"/>
    <w:rsid w:val="008F546A"/>
    <w:rsid w:val="00901797"/>
    <w:rsid w:val="009049EA"/>
    <w:rsid w:val="00907FA6"/>
    <w:rsid w:val="009103D8"/>
    <w:rsid w:val="00912F5C"/>
    <w:rsid w:val="009216DB"/>
    <w:rsid w:val="00921A0F"/>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0EED"/>
    <w:rsid w:val="009533A7"/>
    <w:rsid w:val="00953BEF"/>
    <w:rsid w:val="0095409F"/>
    <w:rsid w:val="00955A91"/>
    <w:rsid w:val="009566BF"/>
    <w:rsid w:val="0096095F"/>
    <w:rsid w:val="009627F9"/>
    <w:rsid w:val="009634DD"/>
    <w:rsid w:val="00973FA5"/>
    <w:rsid w:val="00974539"/>
    <w:rsid w:val="00975165"/>
    <w:rsid w:val="00982FB5"/>
    <w:rsid w:val="00986FBD"/>
    <w:rsid w:val="009912DF"/>
    <w:rsid w:val="009950A0"/>
    <w:rsid w:val="00996D57"/>
    <w:rsid w:val="009A372E"/>
    <w:rsid w:val="009A5D44"/>
    <w:rsid w:val="009A7F0C"/>
    <w:rsid w:val="009C0DC2"/>
    <w:rsid w:val="009D037B"/>
    <w:rsid w:val="009D153D"/>
    <w:rsid w:val="009D1CCE"/>
    <w:rsid w:val="009D3580"/>
    <w:rsid w:val="009D75C1"/>
    <w:rsid w:val="009E4773"/>
    <w:rsid w:val="009F4231"/>
    <w:rsid w:val="009F5E6A"/>
    <w:rsid w:val="009F67C0"/>
    <w:rsid w:val="00A0221B"/>
    <w:rsid w:val="00A07404"/>
    <w:rsid w:val="00A10DA2"/>
    <w:rsid w:val="00A1245C"/>
    <w:rsid w:val="00A136EE"/>
    <w:rsid w:val="00A215B5"/>
    <w:rsid w:val="00A23163"/>
    <w:rsid w:val="00A309DF"/>
    <w:rsid w:val="00A331C2"/>
    <w:rsid w:val="00A342FA"/>
    <w:rsid w:val="00A350C0"/>
    <w:rsid w:val="00A35331"/>
    <w:rsid w:val="00A3733F"/>
    <w:rsid w:val="00A4430E"/>
    <w:rsid w:val="00A4461E"/>
    <w:rsid w:val="00A46379"/>
    <w:rsid w:val="00A467B0"/>
    <w:rsid w:val="00A56BD2"/>
    <w:rsid w:val="00A609B8"/>
    <w:rsid w:val="00A644F2"/>
    <w:rsid w:val="00A64AC5"/>
    <w:rsid w:val="00A718FF"/>
    <w:rsid w:val="00A71A63"/>
    <w:rsid w:val="00A726BB"/>
    <w:rsid w:val="00A76271"/>
    <w:rsid w:val="00A77248"/>
    <w:rsid w:val="00A8111B"/>
    <w:rsid w:val="00A81202"/>
    <w:rsid w:val="00A83C49"/>
    <w:rsid w:val="00A83C9C"/>
    <w:rsid w:val="00A8499E"/>
    <w:rsid w:val="00A87A0F"/>
    <w:rsid w:val="00A90B94"/>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1E1E"/>
    <w:rsid w:val="00AC2E33"/>
    <w:rsid w:val="00AC43C8"/>
    <w:rsid w:val="00AC5D63"/>
    <w:rsid w:val="00AC6C28"/>
    <w:rsid w:val="00AD022B"/>
    <w:rsid w:val="00AD1529"/>
    <w:rsid w:val="00AD1B1E"/>
    <w:rsid w:val="00AD4D12"/>
    <w:rsid w:val="00AD7AD1"/>
    <w:rsid w:val="00AE166E"/>
    <w:rsid w:val="00AE1CFA"/>
    <w:rsid w:val="00AE4B1C"/>
    <w:rsid w:val="00AE5F4A"/>
    <w:rsid w:val="00AF62A1"/>
    <w:rsid w:val="00AF7F2D"/>
    <w:rsid w:val="00B01514"/>
    <w:rsid w:val="00B01EA9"/>
    <w:rsid w:val="00B0607F"/>
    <w:rsid w:val="00B1169A"/>
    <w:rsid w:val="00B16998"/>
    <w:rsid w:val="00B20138"/>
    <w:rsid w:val="00B21D71"/>
    <w:rsid w:val="00B245CC"/>
    <w:rsid w:val="00B25B2D"/>
    <w:rsid w:val="00B272C1"/>
    <w:rsid w:val="00B313D3"/>
    <w:rsid w:val="00B32B20"/>
    <w:rsid w:val="00B33B6F"/>
    <w:rsid w:val="00B33E8F"/>
    <w:rsid w:val="00B3513F"/>
    <w:rsid w:val="00B35A02"/>
    <w:rsid w:val="00B35ED1"/>
    <w:rsid w:val="00B43177"/>
    <w:rsid w:val="00B44443"/>
    <w:rsid w:val="00B44CC3"/>
    <w:rsid w:val="00B52CCA"/>
    <w:rsid w:val="00B56915"/>
    <w:rsid w:val="00B6127E"/>
    <w:rsid w:val="00B61A3B"/>
    <w:rsid w:val="00B62D5F"/>
    <w:rsid w:val="00B715CE"/>
    <w:rsid w:val="00B8330F"/>
    <w:rsid w:val="00B834C8"/>
    <w:rsid w:val="00B84130"/>
    <w:rsid w:val="00B84B18"/>
    <w:rsid w:val="00B85BE2"/>
    <w:rsid w:val="00B85EB0"/>
    <w:rsid w:val="00B86045"/>
    <w:rsid w:val="00B9198B"/>
    <w:rsid w:val="00B9205F"/>
    <w:rsid w:val="00BA0DC4"/>
    <w:rsid w:val="00BA3F50"/>
    <w:rsid w:val="00BA4E36"/>
    <w:rsid w:val="00BA5799"/>
    <w:rsid w:val="00BA5AED"/>
    <w:rsid w:val="00BA6DFC"/>
    <w:rsid w:val="00BB4EE4"/>
    <w:rsid w:val="00BC45AF"/>
    <w:rsid w:val="00BC5EE1"/>
    <w:rsid w:val="00BD323F"/>
    <w:rsid w:val="00BD45B8"/>
    <w:rsid w:val="00BD4C79"/>
    <w:rsid w:val="00BD6F47"/>
    <w:rsid w:val="00BD7BE9"/>
    <w:rsid w:val="00BE1D66"/>
    <w:rsid w:val="00BE2DC8"/>
    <w:rsid w:val="00BE3AE2"/>
    <w:rsid w:val="00BE3C9A"/>
    <w:rsid w:val="00BE724C"/>
    <w:rsid w:val="00BF00F1"/>
    <w:rsid w:val="00BF0CFC"/>
    <w:rsid w:val="00BF2D65"/>
    <w:rsid w:val="00BF4710"/>
    <w:rsid w:val="00BF4C75"/>
    <w:rsid w:val="00BF59D1"/>
    <w:rsid w:val="00BF6805"/>
    <w:rsid w:val="00BF74AF"/>
    <w:rsid w:val="00BF796F"/>
    <w:rsid w:val="00C007AE"/>
    <w:rsid w:val="00C01D82"/>
    <w:rsid w:val="00C02582"/>
    <w:rsid w:val="00C035C3"/>
    <w:rsid w:val="00C037D8"/>
    <w:rsid w:val="00C043C8"/>
    <w:rsid w:val="00C069DA"/>
    <w:rsid w:val="00C10C8A"/>
    <w:rsid w:val="00C209D1"/>
    <w:rsid w:val="00C20F3C"/>
    <w:rsid w:val="00C2147B"/>
    <w:rsid w:val="00C236B4"/>
    <w:rsid w:val="00C24136"/>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251F"/>
    <w:rsid w:val="00C7400B"/>
    <w:rsid w:val="00C81609"/>
    <w:rsid w:val="00C818C2"/>
    <w:rsid w:val="00C820BD"/>
    <w:rsid w:val="00C82385"/>
    <w:rsid w:val="00C82FB7"/>
    <w:rsid w:val="00C83598"/>
    <w:rsid w:val="00C8434A"/>
    <w:rsid w:val="00C84DD1"/>
    <w:rsid w:val="00C90464"/>
    <w:rsid w:val="00C917E0"/>
    <w:rsid w:val="00CA308D"/>
    <w:rsid w:val="00CA340D"/>
    <w:rsid w:val="00CA5082"/>
    <w:rsid w:val="00CA5133"/>
    <w:rsid w:val="00CB0A80"/>
    <w:rsid w:val="00CB430E"/>
    <w:rsid w:val="00CB4D48"/>
    <w:rsid w:val="00CB7C5B"/>
    <w:rsid w:val="00CC204D"/>
    <w:rsid w:val="00CC24E9"/>
    <w:rsid w:val="00CC275B"/>
    <w:rsid w:val="00CC38FA"/>
    <w:rsid w:val="00CC3AA4"/>
    <w:rsid w:val="00CC6825"/>
    <w:rsid w:val="00CD02EC"/>
    <w:rsid w:val="00CD0D88"/>
    <w:rsid w:val="00CD1380"/>
    <w:rsid w:val="00CD244C"/>
    <w:rsid w:val="00CD50DD"/>
    <w:rsid w:val="00CD742E"/>
    <w:rsid w:val="00CD7825"/>
    <w:rsid w:val="00CE0658"/>
    <w:rsid w:val="00CE11B1"/>
    <w:rsid w:val="00CE5B18"/>
    <w:rsid w:val="00CE783D"/>
    <w:rsid w:val="00CE7D4A"/>
    <w:rsid w:val="00CF0D78"/>
    <w:rsid w:val="00CF3614"/>
    <w:rsid w:val="00CF4218"/>
    <w:rsid w:val="00CF60C4"/>
    <w:rsid w:val="00CF6914"/>
    <w:rsid w:val="00D0254C"/>
    <w:rsid w:val="00D056E9"/>
    <w:rsid w:val="00D07C0E"/>
    <w:rsid w:val="00D11554"/>
    <w:rsid w:val="00D139A3"/>
    <w:rsid w:val="00D14E07"/>
    <w:rsid w:val="00D163E7"/>
    <w:rsid w:val="00D176D3"/>
    <w:rsid w:val="00D20B6B"/>
    <w:rsid w:val="00D212A1"/>
    <w:rsid w:val="00D2182E"/>
    <w:rsid w:val="00D244EC"/>
    <w:rsid w:val="00D25055"/>
    <w:rsid w:val="00D252BC"/>
    <w:rsid w:val="00D364EA"/>
    <w:rsid w:val="00D36B8B"/>
    <w:rsid w:val="00D37065"/>
    <w:rsid w:val="00D43254"/>
    <w:rsid w:val="00D43578"/>
    <w:rsid w:val="00D4370C"/>
    <w:rsid w:val="00D515EC"/>
    <w:rsid w:val="00D544C9"/>
    <w:rsid w:val="00D5461F"/>
    <w:rsid w:val="00D558C2"/>
    <w:rsid w:val="00D56C7D"/>
    <w:rsid w:val="00D57E99"/>
    <w:rsid w:val="00D60B04"/>
    <w:rsid w:val="00D60DA2"/>
    <w:rsid w:val="00D61365"/>
    <w:rsid w:val="00D631E2"/>
    <w:rsid w:val="00D65008"/>
    <w:rsid w:val="00D705AC"/>
    <w:rsid w:val="00D74EB5"/>
    <w:rsid w:val="00D831E1"/>
    <w:rsid w:val="00D85A94"/>
    <w:rsid w:val="00D85EDA"/>
    <w:rsid w:val="00D86651"/>
    <w:rsid w:val="00D9283A"/>
    <w:rsid w:val="00DA00B6"/>
    <w:rsid w:val="00DA37D0"/>
    <w:rsid w:val="00DA388A"/>
    <w:rsid w:val="00DA6D82"/>
    <w:rsid w:val="00DB612D"/>
    <w:rsid w:val="00DC0621"/>
    <w:rsid w:val="00DC41F6"/>
    <w:rsid w:val="00DC5A52"/>
    <w:rsid w:val="00DD22C7"/>
    <w:rsid w:val="00DD2EAE"/>
    <w:rsid w:val="00DE321E"/>
    <w:rsid w:val="00DE5F15"/>
    <w:rsid w:val="00DE738E"/>
    <w:rsid w:val="00DF048F"/>
    <w:rsid w:val="00DF0525"/>
    <w:rsid w:val="00DF1E9B"/>
    <w:rsid w:val="00DF4264"/>
    <w:rsid w:val="00DF74AA"/>
    <w:rsid w:val="00E02680"/>
    <w:rsid w:val="00E03EC2"/>
    <w:rsid w:val="00E04682"/>
    <w:rsid w:val="00E0796F"/>
    <w:rsid w:val="00E10B6E"/>
    <w:rsid w:val="00E1320E"/>
    <w:rsid w:val="00E15FA8"/>
    <w:rsid w:val="00E264B3"/>
    <w:rsid w:val="00E303EB"/>
    <w:rsid w:val="00E30A9F"/>
    <w:rsid w:val="00E3167B"/>
    <w:rsid w:val="00E31721"/>
    <w:rsid w:val="00E3500E"/>
    <w:rsid w:val="00E36C29"/>
    <w:rsid w:val="00E40B9B"/>
    <w:rsid w:val="00E45807"/>
    <w:rsid w:val="00E46144"/>
    <w:rsid w:val="00E53F17"/>
    <w:rsid w:val="00E55207"/>
    <w:rsid w:val="00E56328"/>
    <w:rsid w:val="00E63416"/>
    <w:rsid w:val="00E65841"/>
    <w:rsid w:val="00E7278D"/>
    <w:rsid w:val="00E734D2"/>
    <w:rsid w:val="00E80CDC"/>
    <w:rsid w:val="00E84F2F"/>
    <w:rsid w:val="00E85E62"/>
    <w:rsid w:val="00E86435"/>
    <w:rsid w:val="00E86DE3"/>
    <w:rsid w:val="00E903C5"/>
    <w:rsid w:val="00E92A7F"/>
    <w:rsid w:val="00E96B42"/>
    <w:rsid w:val="00EA130D"/>
    <w:rsid w:val="00EA2264"/>
    <w:rsid w:val="00EA53A3"/>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5FCD"/>
    <w:rsid w:val="00EE67BC"/>
    <w:rsid w:val="00EF00C5"/>
    <w:rsid w:val="00EF1F99"/>
    <w:rsid w:val="00EF2102"/>
    <w:rsid w:val="00EF6C72"/>
    <w:rsid w:val="00EF7804"/>
    <w:rsid w:val="00F07143"/>
    <w:rsid w:val="00F07AE1"/>
    <w:rsid w:val="00F12FAF"/>
    <w:rsid w:val="00F151BC"/>
    <w:rsid w:val="00F15ED7"/>
    <w:rsid w:val="00F15F87"/>
    <w:rsid w:val="00F15FC2"/>
    <w:rsid w:val="00F162DE"/>
    <w:rsid w:val="00F17149"/>
    <w:rsid w:val="00F23721"/>
    <w:rsid w:val="00F24455"/>
    <w:rsid w:val="00F26E2A"/>
    <w:rsid w:val="00F305B5"/>
    <w:rsid w:val="00F307ED"/>
    <w:rsid w:val="00F35D86"/>
    <w:rsid w:val="00F36135"/>
    <w:rsid w:val="00F3720D"/>
    <w:rsid w:val="00F3749A"/>
    <w:rsid w:val="00F41816"/>
    <w:rsid w:val="00F4598B"/>
    <w:rsid w:val="00F55A8F"/>
    <w:rsid w:val="00F60B77"/>
    <w:rsid w:val="00F614BB"/>
    <w:rsid w:val="00F65829"/>
    <w:rsid w:val="00F65B5E"/>
    <w:rsid w:val="00F66946"/>
    <w:rsid w:val="00F80A1C"/>
    <w:rsid w:val="00F847C1"/>
    <w:rsid w:val="00F85E47"/>
    <w:rsid w:val="00F8635E"/>
    <w:rsid w:val="00F90B44"/>
    <w:rsid w:val="00F91A42"/>
    <w:rsid w:val="00F91A81"/>
    <w:rsid w:val="00F94658"/>
    <w:rsid w:val="00F9554F"/>
    <w:rsid w:val="00F97976"/>
    <w:rsid w:val="00FA084A"/>
    <w:rsid w:val="00FA6AAA"/>
    <w:rsid w:val="00FB1EEE"/>
    <w:rsid w:val="00FB70B7"/>
    <w:rsid w:val="00FB7EFD"/>
    <w:rsid w:val="00FC31F9"/>
    <w:rsid w:val="00FC52D6"/>
    <w:rsid w:val="00FC640B"/>
    <w:rsid w:val="00FC7873"/>
    <w:rsid w:val="00FC7D1E"/>
    <w:rsid w:val="00FD0E5C"/>
    <w:rsid w:val="00FD20A5"/>
    <w:rsid w:val="00FD35D3"/>
    <w:rsid w:val="00FD4533"/>
    <w:rsid w:val="00FD7609"/>
    <w:rsid w:val="00FE025F"/>
    <w:rsid w:val="00FE112B"/>
    <w:rsid w:val="00FE1F83"/>
    <w:rsid w:val="00FE3470"/>
    <w:rsid w:val="00FE63BD"/>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CA24783"/>
  <w15:docId w15:val="{1DA8BEE6-DAF0-46F8-B854-46597B2A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6F06B7"/>
    <w:pPr>
      <w:jc w:val="both"/>
    </w:pPr>
    <w:rPr>
      <w:rFonts w:ascii="Calibri" w:hAnsi="Calibri"/>
      <w:sz w:val="22"/>
      <w:szCs w:val="22"/>
      <w:lang w:val="fr-FR" w:eastAsia="fr-FR"/>
    </w:rPr>
  </w:style>
  <w:style w:type="character" w:customStyle="1" w:styleId="SansinterligneCar">
    <w:name w:val="Sans interligne Car"/>
    <w:basedOn w:val="Policepardfaut"/>
    <w:link w:val="Sansinterligne"/>
    <w:uiPriority w:val="1"/>
    <w:rsid w:val="006F06B7"/>
    <w:rPr>
      <w:rFonts w:ascii="Calibri" w:hAnsi="Calibri"/>
      <w:sz w:val="22"/>
      <w:szCs w:val="22"/>
      <w:lang w:val="fr-FR" w:eastAsia="fr-FR"/>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18475557">
      <w:bodyDiv w:val="1"/>
      <w:marLeft w:val="0"/>
      <w:marRight w:val="0"/>
      <w:marTop w:val="0"/>
      <w:marBottom w:val="0"/>
      <w:divBdr>
        <w:top w:val="none" w:sz="0" w:space="0" w:color="auto"/>
        <w:left w:val="none" w:sz="0" w:space="0" w:color="auto"/>
        <w:bottom w:val="none" w:sz="0" w:space="0" w:color="auto"/>
        <w:right w:val="none" w:sz="0" w:space="0" w:color="auto"/>
      </w:divBdr>
    </w:div>
    <w:div w:id="768700934">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805387832">
      <w:bodyDiv w:val="1"/>
      <w:marLeft w:val="0"/>
      <w:marRight w:val="0"/>
      <w:marTop w:val="0"/>
      <w:marBottom w:val="0"/>
      <w:divBdr>
        <w:top w:val="none" w:sz="0" w:space="0" w:color="auto"/>
        <w:left w:val="none" w:sz="0" w:space="0" w:color="auto"/>
        <w:bottom w:val="none" w:sz="0" w:space="0" w:color="auto"/>
        <w:right w:val="none" w:sz="0" w:space="0" w:color="auto"/>
      </w:divBdr>
    </w:div>
    <w:div w:id="204085893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fr/actual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Pv2SY4obj8g2OHZqGFgY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EF1A-8D2E-4CA9-BB20-DB417CF1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1799</Words>
  <Characters>10258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25</cp:revision>
  <cp:lastPrinted>2012-11-06T14:41:00Z</cp:lastPrinted>
  <dcterms:created xsi:type="dcterms:W3CDTF">2021-05-14T16:09:00Z</dcterms:created>
  <dcterms:modified xsi:type="dcterms:W3CDTF">2021-11-09T10:20:00Z</dcterms:modified>
</cp:coreProperties>
</file>