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A45B11"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1D6915" w:rsidP="000B7079">
      <w:pPr>
        <w:pStyle w:val="TM1"/>
        <w:rPr>
          <w:rStyle w:val="Accentuation"/>
          <w:rFonts w:ascii="Bookman Old Style" w:eastAsiaTheme="minorEastAsia" w:hAnsi="Bookman Old Style"/>
          <w:i w:val="0"/>
          <w:sz w:val="22"/>
          <w:szCs w:val="22"/>
        </w:rPr>
      </w:pP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rsidR="000B7079" w:rsidRPr="00733E47" w:rsidRDefault="001D6915"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rsidR="000B7079" w:rsidRPr="00733E47" w:rsidRDefault="001D6915"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A42EB5">
        <w:t>2</w:t>
      </w:r>
      <w:r w:rsidR="00BC5513">
        <w:t>-3</w:t>
      </w:r>
    </w:p>
    <w:p w:rsidR="000B7079" w:rsidRDefault="001D6915" w:rsidP="000B7079">
      <w:pPr>
        <w:pStyle w:val="TM1"/>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3</w:t>
        </w:r>
        <w:r w:rsidR="000F34FD">
          <w:rPr>
            <w:rStyle w:val="Accentuation"/>
            <w:rFonts w:ascii="Bookman Old Style" w:hAnsi="Bookman Old Style"/>
            <w:webHidden/>
            <w:sz w:val="22"/>
            <w:szCs w:val="22"/>
          </w:rPr>
          <w:t>-4</w:t>
        </w:r>
      </w:hyperlink>
    </w:p>
    <w:p w:rsidR="000B7079" w:rsidRPr="00733E47" w:rsidRDefault="001D6915" w:rsidP="000B7079">
      <w:pPr>
        <w:pStyle w:val="TM1"/>
        <w:rPr>
          <w:rStyle w:val="Accentuation"/>
          <w:rFonts w:ascii="Bookman Old Style" w:eastAsiaTheme="minorEastAsia" w:hAnsi="Bookman Old Style"/>
          <w:i w:val="0"/>
          <w:sz w:val="22"/>
          <w:szCs w:val="22"/>
        </w:rPr>
      </w:pPr>
      <w:hyperlink w:anchor="_Toc7774930" w:history="1">
        <w:r w:rsidR="00EB7C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520983">
        <w:rPr>
          <w:rFonts w:ascii="Bookman Old Style" w:hAnsi="Bookman Old Style"/>
          <w:sz w:val="22"/>
          <w:szCs w:val="22"/>
        </w:rPr>
        <w:t>4</w:t>
      </w:r>
    </w:p>
    <w:p w:rsidR="000B7079" w:rsidRPr="00733E47" w:rsidRDefault="001D6915" w:rsidP="000B7079">
      <w:pPr>
        <w:pStyle w:val="TM1"/>
        <w:rPr>
          <w:rStyle w:val="Accentuation"/>
          <w:rFonts w:ascii="Bookman Old Style" w:eastAsiaTheme="minorEastAsia" w:hAnsi="Bookman Old Style"/>
          <w:i w:val="0"/>
          <w:sz w:val="22"/>
          <w:szCs w:val="22"/>
        </w:rPr>
      </w:pPr>
      <w:hyperlink w:anchor="_Toc7774931" w:history="1">
        <w:r w:rsidR="00EB7C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520983">
        <w:t>4-</w:t>
      </w:r>
      <w:r w:rsidR="00A42EB5">
        <w:rPr>
          <w:rFonts w:ascii="Bookman Old Style" w:hAnsi="Bookman Old Style"/>
          <w:sz w:val="22"/>
          <w:szCs w:val="22"/>
        </w:rPr>
        <w:t>5</w:t>
      </w:r>
    </w:p>
    <w:p w:rsidR="000B7079" w:rsidRPr="00733E47" w:rsidRDefault="001D6915" w:rsidP="000B7079">
      <w:pPr>
        <w:pStyle w:val="TM1"/>
        <w:rPr>
          <w:rStyle w:val="Accentuation"/>
          <w:rFonts w:ascii="Bookman Old Style" w:eastAsiaTheme="minorEastAsia" w:hAnsi="Bookman Old Style"/>
          <w:i w:val="0"/>
          <w:sz w:val="22"/>
          <w:szCs w:val="22"/>
        </w:rPr>
      </w:pPr>
      <w:hyperlink w:anchor="_Toc7774932" w:history="1">
        <w:r w:rsidR="00EB7C47">
          <w:rPr>
            <w:rStyle w:val="Accentuation"/>
            <w:rFonts w:ascii="Bookman Old Style" w:hAnsi="Bookman Old Style"/>
            <w:sz w:val="22"/>
            <w:szCs w:val="22"/>
          </w:rPr>
          <w:t>8</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5</w:t>
        </w:r>
      </w:hyperlink>
    </w:p>
    <w:p w:rsidR="00733E47" w:rsidRDefault="00733E47" w:rsidP="00733E47">
      <w:pPr>
        <w:tabs>
          <w:tab w:val="right" w:leader="dot" w:pos="9062"/>
        </w:tabs>
        <w:jc w:val="center"/>
        <w:rPr>
          <w:rStyle w:val="Accentuation"/>
          <w:rFonts w:ascii="Bookman Old Style" w:hAnsi="Bookman Old Style"/>
          <w:i w:val="0"/>
          <w:sz w:val="22"/>
          <w:szCs w:val="22"/>
        </w:rPr>
      </w:pP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99201D">
        <w:rPr>
          <w:b/>
          <w:sz w:val="22"/>
          <w:szCs w:val="22"/>
        </w:rPr>
        <w:t>avril</w:t>
      </w:r>
      <w:r w:rsidRPr="00733E47">
        <w:rPr>
          <w:b/>
          <w:sz w:val="22"/>
          <w:szCs w:val="22"/>
        </w:rPr>
        <w:t xml:space="preserve"> 20</w:t>
      </w:r>
      <w:r w:rsidR="001C7F24">
        <w:rPr>
          <w:b/>
          <w:sz w:val="22"/>
          <w:szCs w:val="22"/>
        </w:rPr>
        <w:t>21</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520983" w:rsidRDefault="000B7079" w:rsidP="00520983">
      <w:pPr>
        <w:pStyle w:val="Titre1"/>
        <w:shd w:val="clear" w:color="auto" w:fill="000000" w:themeFill="text1"/>
        <w:jc w:val="both"/>
        <w:rPr>
          <w:rStyle w:val="Accentuation"/>
          <w:i w:val="0"/>
          <w:sz w:val="22"/>
          <w:szCs w:val="22"/>
        </w:rPr>
      </w:pPr>
      <w:bookmarkStart w:id="0" w:name="_Toc374452665"/>
      <w:bookmarkStart w:id="1" w:name="_Toc7774926"/>
      <w:r w:rsidRPr="00520983">
        <w:rPr>
          <w:rStyle w:val="Accentuation"/>
          <w:sz w:val="22"/>
          <w:szCs w:val="22"/>
        </w:rPr>
        <w:lastRenderedPageBreak/>
        <w:t>Points principaux</w:t>
      </w:r>
      <w:bookmarkEnd w:id="0"/>
      <w:bookmarkEnd w:id="1"/>
    </w:p>
    <w:p w:rsidR="00B16408" w:rsidRPr="00520983" w:rsidRDefault="00B16408" w:rsidP="00520983">
      <w:pPr>
        <w:jc w:val="both"/>
        <w:rPr>
          <w:sz w:val="22"/>
          <w:szCs w:val="22"/>
        </w:rPr>
      </w:pPr>
    </w:p>
    <w:p w:rsidR="008E659F" w:rsidRPr="00520983" w:rsidRDefault="008E659F" w:rsidP="00520983">
      <w:pPr>
        <w:jc w:val="both"/>
        <w:rPr>
          <w:b/>
          <w:sz w:val="22"/>
          <w:szCs w:val="22"/>
          <w:u w:val="single"/>
        </w:rPr>
      </w:pPr>
    </w:p>
    <w:p w:rsidR="008E659F" w:rsidRPr="00520983" w:rsidRDefault="00221B92" w:rsidP="00520983">
      <w:pPr>
        <w:jc w:val="both"/>
        <w:rPr>
          <w:sz w:val="22"/>
          <w:szCs w:val="22"/>
        </w:rPr>
      </w:pPr>
      <w:r w:rsidRPr="00A212C6">
        <w:rPr>
          <w:b/>
          <w:sz w:val="22"/>
          <w:szCs w:val="22"/>
        </w:rPr>
        <w:t>Quarante-deux</w:t>
      </w:r>
      <w:r w:rsidRPr="00520983">
        <w:rPr>
          <w:sz w:val="22"/>
          <w:szCs w:val="22"/>
        </w:rPr>
        <w:t xml:space="preserve"> (42) rencontres ont eu lieu avec les autorités judiciaires et administratives aussi bien pour le suivi des affaires que pour le renforcement de collaboration ;</w:t>
      </w:r>
    </w:p>
    <w:p w:rsidR="00221B92" w:rsidRPr="00520983" w:rsidRDefault="00221B92" w:rsidP="00520983">
      <w:pPr>
        <w:jc w:val="both"/>
        <w:rPr>
          <w:sz w:val="22"/>
          <w:szCs w:val="22"/>
        </w:rPr>
      </w:pPr>
    </w:p>
    <w:p w:rsidR="00221B92" w:rsidRPr="00520983" w:rsidRDefault="00221B92" w:rsidP="00520983">
      <w:pPr>
        <w:ind w:right="28"/>
        <w:jc w:val="both"/>
        <w:rPr>
          <w:sz w:val="22"/>
          <w:szCs w:val="22"/>
          <w:lang w:eastAsia="fr-FR"/>
        </w:rPr>
      </w:pPr>
      <w:r w:rsidRPr="00520983">
        <w:rPr>
          <w:b/>
          <w:sz w:val="22"/>
          <w:szCs w:val="22"/>
          <w:u w:val="single"/>
          <w:lang w:eastAsia="fr-FR"/>
        </w:rPr>
        <w:t>Le 09 et 23 avril 2021</w:t>
      </w:r>
      <w:r w:rsidRPr="00520983">
        <w:rPr>
          <w:sz w:val="22"/>
          <w:szCs w:val="22"/>
          <w:lang w:eastAsia="fr-FR"/>
        </w:rPr>
        <w:t>, il y a eu des audiences de plaidoiries et de délibérées de six (6) affaires impliquant</w:t>
      </w:r>
      <w:r w:rsidR="00517CD7">
        <w:rPr>
          <w:sz w:val="22"/>
          <w:szCs w:val="22"/>
          <w:lang w:eastAsia="fr-FR"/>
        </w:rPr>
        <w:t xml:space="preserve"> 12</w:t>
      </w:r>
      <w:r w:rsidR="00520983" w:rsidRPr="00520983">
        <w:rPr>
          <w:sz w:val="22"/>
          <w:szCs w:val="22"/>
          <w:lang w:eastAsia="fr-FR"/>
        </w:rPr>
        <w:t xml:space="preserve"> trafiquants d’ivoire</w:t>
      </w:r>
      <w:r w:rsidRPr="00520983">
        <w:rPr>
          <w:sz w:val="22"/>
          <w:szCs w:val="22"/>
          <w:lang w:eastAsia="fr-FR"/>
        </w:rPr>
        <w:t xml:space="preserve"> :</w:t>
      </w:r>
    </w:p>
    <w:p w:rsidR="00221B92" w:rsidRPr="00520983" w:rsidRDefault="00221B92" w:rsidP="00520983">
      <w:pPr>
        <w:jc w:val="both"/>
        <w:rPr>
          <w:sz w:val="22"/>
          <w:szCs w:val="22"/>
        </w:rPr>
      </w:pPr>
    </w:p>
    <w:p w:rsidR="00221B92" w:rsidRPr="00520983" w:rsidRDefault="00520983" w:rsidP="00520983">
      <w:pPr>
        <w:jc w:val="both"/>
        <w:rPr>
          <w:b/>
          <w:sz w:val="22"/>
          <w:szCs w:val="22"/>
          <w:u w:val="single"/>
        </w:rPr>
      </w:pPr>
      <w:r w:rsidRPr="00520983">
        <w:rPr>
          <w:b/>
          <w:sz w:val="22"/>
          <w:szCs w:val="22"/>
          <w:u w:val="single"/>
        </w:rPr>
        <w:t>les 13 et 14 avril 2021</w:t>
      </w:r>
      <w:r w:rsidRPr="00520983">
        <w:rPr>
          <w:sz w:val="22"/>
          <w:szCs w:val="22"/>
        </w:rPr>
        <w:t xml:space="preserve">, un juriste du projet a appuyé la procédure initiée par les forces de l’ordre, notamment la Direction générale des recherches (DGR), antenne de Franceville portant sur le trafic d’ivoire. </w:t>
      </w:r>
    </w:p>
    <w:p w:rsidR="008E659F" w:rsidRPr="00520983" w:rsidRDefault="008E659F" w:rsidP="00520983">
      <w:pPr>
        <w:spacing w:after="240"/>
        <w:jc w:val="both"/>
        <w:rPr>
          <w:rStyle w:val="Accentuation"/>
          <w:i w:val="0"/>
          <w:iCs w:val="0"/>
          <w:sz w:val="22"/>
          <w:szCs w:val="22"/>
        </w:rPr>
      </w:pPr>
    </w:p>
    <w:p w:rsidR="000B7079" w:rsidRPr="00520983" w:rsidRDefault="000B7079" w:rsidP="00520983">
      <w:pPr>
        <w:pStyle w:val="Titre1"/>
        <w:shd w:val="clear" w:color="auto" w:fill="000000" w:themeFill="text1"/>
        <w:jc w:val="both"/>
        <w:rPr>
          <w:rStyle w:val="Accentuation"/>
          <w:i w:val="0"/>
          <w:sz w:val="22"/>
          <w:szCs w:val="22"/>
        </w:rPr>
      </w:pPr>
      <w:bookmarkStart w:id="2" w:name="_Toc7774927"/>
      <w:r w:rsidRPr="00520983">
        <w:rPr>
          <w:rStyle w:val="Accentuation"/>
          <w:sz w:val="22"/>
          <w:szCs w:val="22"/>
        </w:rPr>
        <w:t>Investigations</w:t>
      </w:r>
      <w:bookmarkEnd w:id="2"/>
    </w:p>
    <w:p w:rsidR="000B7079" w:rsidRPr="00520983" w:rsidRDefault="000B7079" w:rsidP="00520983">
      <w:pPr>
        <w:jc w:val="both"/>
        <w:rPr>
          <w:rStyle w:val="Accentuation"/>
          <w:i w:val="0"/>
          <w:sz w:val="22"/>
          <w:szCs w:val="22"/>
        </w:rPr>
      </w:pPr>
    </w:p>
    <w:p w:rsidR="000B7079" w:rsidRPr="00520983" w:rsidRDefault="000B7079" w:rsidP="00520983">
      <w:pPr>
        <w:spacing w:after="240"/>
        <w:jc w:val="both"/>
        <w:rPr>
          <w:rStyle w:val="Accentuation"/>
          <w:i w:val="0"/>
          <w:sz w:val="22"/>
          <w:szCs w:val="22"/>
        </w:rPr>
      </w:pPr>
      <w:r w:rsidRPr="00520983">
        <w:rPr>
          <w:rStyle w:val="Accentuation"/>
          <w:sz w:val="22"/>
          <w:szCs w:val="22"/>
        </w:rPr>
        <w:t>Indicateur:</w:t>
      </w:r>
    </w:p>
    <w:tbl>
      <w:tblPr>
        <w:tblStyle w:val="Grilledetableauclaire1"/>
        <w:tblW w:w="0" w:type="auto"/>
        <w:jc w:val="center"/>
        <w:tblLook w:val="04A0"/>
      </w:tblPr>
      <w:tblGrid>
        <w:gridCol w:w="4520"/>
        <w:gridCol w:w="4235"/>
      </w:tblGrid>
      <w:tr w:rsidR="000B7079" w:rsidRPr="00520983" w:rsidTr="000F4C8D">
        <w:trPr>
          <w:jc w:val="center"/>
        </w:trPr>
        <w:tc>
          <w:tcPr>
            <w:tcW w:w="4520" w:type="dxa"/>
          </w:tcPr>
          <w:p w:rsidR="000B7079" w:rsidRPr="00520983" w:rsidRDefault="000B7079" w:rsidP="00520983">
            <w:pPr>
              <w:jc w:val="both"/>
              <w:rPr>
                <w:rStyle w:val="Accentuation"/>
                <w:i w:val="0"/>
                <w:sz w:val="22"/>
                <w:szCs w:val="22"/>
              </w:rPr>
            </w:pPr>
            <w:r w:rsidRPr="00520983">
              <w:rPr>
                <w:rStyle w:val="Accentuation"/>
                <w:sz w:val="22"/>
                <w:szCs w:val="22"/>
              </w:rPr>
              <w:t>Nombre d’investigations menées</w:t>
            </w:r>
          </w:p>
        </w:tc>
        <w:tc>
          <w:tcPr>
            <w:tcW w:w="4235" w:type="dxa"/>
          </w:tcPr>
          <w:p w:rsidR="000B7079" w:rsidRPr="00520983" w:rsidRDefault="00F86F07" w:rsidP="00520983">
            <w:pPr>
              <w:jc w:val="both"/>
              <w:rPr>
                <w:rStyle w:val="Accentuation"/>
                <w:i w:val="0"/>
                <w:sz w:val="22"/>
                <w:szCs w:val="22"/>
              </w:rPr>
            </w:pPr>
            <w:r w:rsidRPr="00520983">
              <w:rPr>
                <w:rStyle w:val="Accentuation"/>
                <w:sz w:val="22"/>
                <w:szCs w:val="22"/>
              </w:rPr>
              <w:t>0</w:t>
            </w:r>
            <w:r w:rsidR="00863C6C" w:rsidRPr="00520983">
              <w:rPr>
                <w:rStyle w:val="Accentuation"/>
                <w:sz w:val="22"/>
                <w:szCs w:val="22"/>
              </w:rPr>
              <w:t>7</w:t>
            </w:r>
          </w:p>
        </w:tc>
      </w:tr>
      <w:tr w:rsidR="000B7079" w:rsidRPr="00520983" w:rsidTr="000F4C8D">
        <w:trPr>
          <w:jc w:val="center"/>
        </w:trPr>
        <w:tc>
          <w:tcPr>
            <w:tcW w:w="4520" w:type="dxa"/>
          </w:tcPr>
          <w:p w:rsidR="000B7079" w:rsidRPr="00520983" w:rsidRDefault="000B7079" w:rsidP="00520983">
            <w:pPr>
              <w:jc w:val="both"/>
              <w:rPr>
                <w:rStyle w:val="Accentuation"/>
                <w:i w:val="0"/>
                <w:sz w:val="22"/>
                <w:szCs w:val="22"/>
              </w:rPr>
            </w:pPr>
            <w:r w:rsidRPr="00520983">
              <w:rPr>
                <w:rStyle w:val="Accentuation"/>
                <w:sz w:val="22"/>
                <w:szCs w:val="22"/>
              </w:rPr>
              <w:t>Investigations ayant mené à une opération</w:t>
            </w:r>
          </w:p>
        </w:tc>
        <w:tc>
          <w:tcPr>
            <w:tcW w:w="4235" w:type="dxa"/>
          </w:tcPr>
          <w:p w:rsidR="000B7079" w:rsidRPr="00520983" w:rsidRDefault="00A57371" w:rsidP="00520983">
            <w:pPr>
              <w:jc w:val="both"/>
              <w:rPr>
                <w:rStyle w:val="Accentuation"/>
                <w:i w:val="0"/>
                <w:sz w:val="22"/>
                <w:szCs w:val="22"/>
              </w:rPr>
            </w:pPr>
            <w:r w:rsidRPr="00520983">
              <w:rPr>
                <w:rStyle w:val="Accentuation"/>
                <w:sz w:val="22"/>
                <w:szCs w:val="22"/>
              </w:rPr>
              <w:t>0</w:t>
            </w:r>
            <w:r w:rsidR="00863C6C" w:rsidRPr="00520983">
              <w:rPr>
                <w:rStyle w:val="Accentuation"/>
                <w:sz w:val="22"/>
                <w:szCs w:val="22"/>
              </w:rPr>
              <w:t>0</w:t>
            </w:r>
          </w:p>
        </w:tc>
      </w:tr>
      <w:tr w:rsidR="000B7079" w:rsidRPr="00520983" w:rsidTr="000F4C8D">
        <w:trPr>
          <w:jc w:val="center"/>
        </w:trPr>
        <w:tc>
          <w:tcPr>
            <w:tcW w:w="4520" w:type="dxa"/>
          </w:tcPr>
          <w:p w:rsidR="000B7079" w:rsidRPr="00520983" w:rsidRDefault="000B7079" w:rsidP="00520983">
            <w:pPr>
              <w:jc w:val="both"/>
              <w:rPr>
                <w:rStyle w:val="Accentuation"/>
                <w:i w:val="0"/>
                <w:sz w:val="22"/>
                <w:szCs w:val="22"/>
              </w:rPr>
            </w:pPr>
            <w:r w:rsidRPr="00520983">
              <w:rPr>
                <w:rStyle w:val="Accentuation"/>
                <w:sz w:val="22"/>
                <w:szCs w:val="22"/>
              </w:rPr>
              <w:t>Nombre de trafiquants identifiés</w:t>
            </w:r>
          </w:p>
        </w:tc>
        <w:tc>
          <w:tcPr>
            <w:tcW w:w="4235" w:type="dxa"/>
          </w:tcPr>
          <w:p w:rsidR="000B7079" w:rsidRPr="00520983" w:rsidRDefault="00863C6C" w:rsidP="00520983">
            <w:pPr>
              <w:jc w:val="both"/>
              <w:rPr>
                <w:rStyle w:val="Accentuation"/>
                <w:i w:val="0"/>
                <w:sz w:val="22"/>
                <w:szCs w:val="22"/>
              </w:rPr>
            </w:pPr>
            <w:r w:rsidRPr="00520983">
              <w:rPr>
                <w:rStyle w:val="Accentuation"/>
                <w:sz w:val="22"/>
                <w:szCs w:val="22"/>
              </w:rPr>
              <w:t>26</w:t>
            </w:r>
          </w:p>
        </w:tc>
      </w:tr>
    </w:tbl>
    <w:p w:rsidR="00632BAA" w:rsidRPr="00520983" w:rsidRDefault="00632BAA" w:rsidP="00520983">
      <w:pPr>
        <w:jc w:val="both"/>
        <w:rPr>
          <w:sz w:val="22"/>
          <w:szCs w:val="22"/>
        </w:rPr>
      </w:pPr>
      <w:bookmarkStart w:id="3" w:name="_Toc7774928"/>
    </w:p>
    <w:p w:rsidR="00F86F07" w:rsidRPr="00520983" w:rsidRDefault="00863C6C" w:rsidP="00520983">
      <w:pPr>
        <w:jc w:val="both"/>
        <w:rPr>
          <w:sz w:val="22"/>
          <w:szCs w:val="22"/>
        </w:rPr>
      </w:pPr>
      <w:r w:rsidRPr="00520983">
        <w:rPr>
          <w:sz w:val="22"/>
          <w:szCs w:val="22"/>
          <w:lang w:val="fr-BE"/>
        </w:rPr>
        <w:t>Au cours de ce mois d’avril 2021, au total 07 missions d'investigations ont été organisées par 03 enquêteurs à travers cinq provinces du pays : La Nyanga, la Ngounié, le Moyen Ogooué, le Woleu-Ntem et l’Estuaire. Elles ont permis d'identifier 26 nouveaux trafiquants</w:t>
      </w:r>
      <w:r w:rsidRPr="00520983">
        <w:rPr>
          <w:sz w:val="22"/>
          <w:szCs w:val="22"/>
        </w:rPr>
        <w:t xml:space="preserve"> et braconniers majeurs.</w:t>
      </w:r>
    </w:p>
    <w:p w:rsidR="00F86F07" w:rsidRPr="00520983" w:rsidRDefault="00F86F07" w:rsidP="00520983">
      <w:pPr>
        <w:jc w:val="both"/>
        <w:rPr>
          <w:b/>
          <w:color w:val="0070C0"/>
          <w:sz w:val="22"/>
          <w:szCs w:val="22"/>
        </w:rPr>
      </w:pPr>
    </w:p>
    <w:p w:rsidR="000B7079" w:rsidRPr="00520983" w:rsidRDefault="000B7079" w:rsidP="00520983">
      <w:pPr>
        <w:pStyle w:val="Titre1"/>
        <w:shd w:val="clear" w:color="auto" w:fill="000000" w:themeFill="text1"/>
        <w:jc w:val="both"/>
        <w:rPr>
          <w:rStyle w:val="Accentuation"/>
          <w:i w:val="0"/>
          <w:sz w:val="22"/>
          <w:szCs w:val="22"/>
        </w:rPr>
      </w:pPr>
      <w:r w:rsidRPr="00520983">
        <w:rPr>
          <w:rStyle w:val="Accentuation"/>
          <w:sz w:val="22"/>
          <w:szCs w:val="22"/>
        </w:rPr>
        <w:t>Opérations</w:t>
      </w:r>
      <w:bookmarkEnd w:id="3"/>
    </w:p>
    <w:p w:rsidR="000B7079" w:rsidRPr="00520983" w:rsidRDefault="000B7079" w:rsidP="00520983">
      <w:pPr>
        <w:jc w:val="both"/>
        <w:rPr>
          <w:rStyle w:val="Accentuation"/>
          <w:i w:val="0"/>
          <w:color w:val="FF0000"/>
          <w:sz w:val="22"/>
          <w:szCs w:val="22"/>
        </w:rPr>
      </w:pPr>
    </w:p>
    <w:p w:rsidR="000B7079" w:rsidRPr="00520983" w:rsidRDefault="000B7079" w:rsidP="00520983">
      <w:pPr>
        <w:spacing w:after="240"/>
        <w:jc w:val="both"/>
        <w:rPr>
          <w:rStyle w:val="Accentuation"/>
          <w:i w:val="0"/>
          <w:sz w:val="22"/>
          <w:szCs w:val="22"/>
        </w:rPr>
      </w:pPr>
      <w:r w:rsidRPr="00520983">
        <w:rPr>
          <w:rStyle w:val="Accentuation"/>
          <w:sz w:val="22"/>
          <w:szCs w:val="22"/>
        </w:rPr>
        <w:t>Indicateur:</w:t>
      </w:r>
    </w:p>
    <w:tbl>
      <w:tblPr>
        <w:tblStyle w:val="Grilledetableauclaire1"/>
        <w:tblW w:w="8777" w:type="dxa"/>
        <w:jc w:val="center"/>
        <w:tblLook w:val="04A0"/>
      </w:tblPr>
      <w:tblGrid>
        <w:gridCol w:w="4561"/>
        <w:gridCol w:w="4216"/>
      </w:tblGrid>
      <w:tr w:rsidR="000B7079" w:rsidRPr="00520983" w:rsidTr="000F4C8D">
        <w:trPr>
          <w:trHeight w:val="283"/>
          <w:jc w:val="center"/>
        </w:trPr>
        <w:tc>
          <w:tcPr>
            <w:tcW w:w="4561" w:type="dxa"/>
          </w:tcPr>
          <w:p w:rsidR="000B7079" w:rsidRPr="00520983" w:rsidRDefault="000B7079" w:rsidP="00520983">
            <w:pPr>
              <w:jc w:val="both"/>
              <w:rPr>
                <w:rStyle w:val="Accentuation"/>
                <w:i w:val="0"/>
                <w:sz w:val="22"/>
                <w:szCs w:val="22"/>
              </w:rPr>
            </w:pPr>
            <w:r w:rsidRPr="00520983">
              <w:rPr>
                <w:rStyle w:val="Accentuation"/>
                <w:sz w:val="22"/>
                <w:szCs w:val="22"/>
              </w:rPr>
              <w:t>Nombre d’opérations menées</w:t>
            </w:r>
          </w:p>
        </w:tc>
        <w:tc>
          <w:tcPr>
            <w:tcW w:w="4216" w:type="dxa"/>
          </w:tcPr>
          <w:p w:rsidR="000B7079" w:rsidRPr="00520983" w:rsidRDefault="00092963" w:rsidP="00520983">
            <w:pPr>
              <w:jc w:val="both"/>
              <w:rPr>
                <w:rStyle w:val="Accentuation"/>
                <w:i w:val="0"/>
                <w:sz w:val="22"/>
                <w:szCs w:val="22"/>
              </w:rPr>
            </w:pPr>
            <w:r w:rsidRPr="00520983">
              <w:rPr>
                <w:rStyle w:val="Accentuation"/>
                <w:sz w:val="22"/>
                <w:szCs w:val="22"/>
              </w:rPr>
              <w:t>0</w:t>
            </w:r>
            <w:r w:rsidR="00863C6C" w:rsidRPr="00520983">
              <w:rPr>
                <w:rStyle w:val="Accentuation"/>
                <w:sz w:val="22"/>
                <w:szCs w:val="22"/>
              </w:rPr>
              <w:t>0</w:t>
            </w:r>
          </w:p>
        </w:tc>
      </w:tr>
      <w:tr w:rsidR="000B7079" w:rsidRPr="00520983" w:rsidTr="000F4C8D">
        <w:trPr>
          <w:trHeight w:val="283"/>
          <w:jc w:val="center"/>
        </w:trPr>
        <w:tc>
          <w:tcPr>
            <w:tcW w:w="4561" w:type="dxa"/>
          </w:tcPr>
          <w:p w:rsidR="000B7079" w:rsidRPr="00520983" w:rsidRDefault="000B7079" w:rsidP="00520983">
            <w:pPr>
              <w:jc w:val="both"/>
              <w:rPr>
                <w:rStyle w:val="Accentuation"/>
                <w:i w:val="0"/>
                <w:sz w:val="22"/>
                <w:szCs w:val="22"/>
              </w:rPr>
            </w:pPr>
            <w:r w:rsidRPr="00520983">
              <w:rPr>
                <w:rStyle w:val="Accentuation"/>
                <w:sz w:val="22"/>
                <w:szCs w:val="22"/>
              </w:rPr>
              <w:t>Nombre de trafiquants arrêtés</w:t>
            </w:r>
          </w:p>
        </w:tc>
        <w:tc>
          <w:tcPr>
            <w:tcW w:w="4216" w:type="dxa"/>
          </w:tcPr>
          <w:p w:rsidR="000B7079" w:rsidRPr="00520983" w:rsidRDefault="00092963" w:rsidP="00520983">
            <w:pPr>
              <w:jc w:val="both"/>
              <w:rPr>
                <w:rStyle w:val="Accentuation"/>
                <w:i w:val="0"/>
                <w:sz w:val="22"/>
                <w:szCs w:val="22"/>
              </w:rPr>
            </w:pPr>
            <w:r w:rsidRPr="00520983">
              <w:rPr>
                <w:rStyle w:val="Accentuation"/>
                <w:sz w:val="22"/>
                <w:szCs w:val="22"/>
              </w:rPr>
              <w:t>0</w:t>
            </w:r>
            <w:r w:rsidR="00863C6C" w:rsidRPr="00520983">
              <w:rPr>
                <w:rStyle w:val="Accentuation"/>
                <w:sz w:val="22"/>
                <w:szCs w:val="22"/>
              </w:rPr>
              <w:t>0</w:t>
            </w:r>
          </w:p>
        </w:tc>
      </w:tr>
    </w:tbl>
    <w:p w:rsidR="00632BAA" w:rsidRPr="00520983" w:rsidRDefault="00632BAA" w:rsidP="00520983">
      <w:pPr>
        <w:jc w:val="both"/>
        <w:rPr>
          <w:rStyle w:val="Accentuation"/>
          <w:sz w:val="22"/>
          <w:szCs w:val="22"/>
        </w:rPr>
      </w:pPr>
    </w:p>
    <w:p w:rsidR="00863C6C" w:rsidRPr="00520983" w:rsidRDefault="00863C6C" w:rsidP="00520983">
      <w:pPr>
        <w:spacing w:line="276" w:lineRule="auto"/>
        <w:jc w:val="both"/>
        <w:rPr>
          <w:rStyle w:val="Accentuation"/>
          <w:i w:val="0"/>
          <w:sz w:val="22"/>
          <w:szCs w:val="22"/>
          <w:lang w:val="fr-BE"/>
        </w:rPr>
      </w:pPr>
      <w:r w:rsidRPr="00520983">
        <w:rPr>
          <w:rStyle w:val="Accentuation"/>
          <w:sz w:val="22"/>
          <w:szCs w:val="22"/>
          <w:lang w:val="fr-BE"/>
        </w:rPr>
        <w:t>Le projet  n’a initié aucune opération  ce mois. Toutefois, il y a lieu de préciser et rappeler ce qui suit :</w:t>
      </w:r>
    </w:p>
    <w:p w:rsidR="00863C6C" w:rsidRPr="00520983" w:rsidRDefault="00863C6C" w:rsidP="00520983">
      <w:pPr>
        <w:spacing w:after="160" w:line="259" w:lineRule="auto"/>
        <w:jc w:val="both"/>
        <w:rPr>
          <w:sz w:val="22"/>
          <w:szCs w:val="22"/>
        </w:rPr>
      </w:pPr>
      <w:r w:rsidRPr="00520983">
        <w:rPr>
          <w:sz w:val="22"/>
          <w:szCs w:val="22"/>
        </w:rPr>
        <w:t xml:space="preserve">Le 17 mars 2020, le nommé KAH PUH Joseph de nationalité camerounaise était interpelé à Moanda par les agents de la police judiciaire de Franceville alors qu’il détenait six (06) pointes d’ivoire qu’il tentait de revendre. Pour des raisons de suspension de toutes liaisons ferroviaire de transport des passagers du fait de la pandémie liée au Covid-19 en cette période, le mis en cause n’a donc pas </w:t>
      </w:r>
      <w:r w:rsidRPr="00520983">
        <w:rPr>
          <w:rFonts w:eastAsiaTheme="minorHAnsi"/>
          <w:sz w:val="22"/>
          <w:szCs w:val="22"/>
        </w:rPr>
        <w:t xml:space="preserve">été transféré sur Libreville pour être présenté </w:t>
      </w:r>
      <w:r w:rsidRPr="00520983">
        <w:rPr>
          <w:sz w:val="22"/>
          <w:szCs w:val="22"/>
        </w:rPr>
        <w:t>devant le Procureur de la formation spécialisée</w:t>
      </w:r>
      <w:r w:rsidRPr="00520983">
        <w:rPr>
          <w:rFonts w:eastAsiaTheme="minorHAnsi"/>
          <w:sz w:val="22"/>
          <w:szCs w:val="22"/>
        </w:rPr>
        <w:t xml:space="preserve">. </w:t>
      </w:r>
      <w:r w:rsidRPr="00520983">
        <w:rPr>
          <w:sz w:val="22"/>
          <w:szCs w:val="22"/>
        </w:rPr>
        <w:t xml:space="preserve">Entendu, le susnommé reconnaissait les faits, et était ensuite déféré devant le parquet de la République, où il était inculpé pour trafic d’ivoire, avant d’être traduit devant le Tribunal de céans pour répondre de ces faits. Placé en détention préventive à la prison centrale de Franceville par mandat de dépôt du 23 mars 2020. Lors de l’audience du 15 juillet 2020,  le tribunal de Franceville s’est déclaré incompétent à statuer sur les faits de la cause au profit des juridictions spécialisées de Libreville et avait ordonné sa libération immédiate. </w:t>
      </w:r>
    </w:p>
    <w:p w:rsidR="00863C6C" w:rsidRPr="00520983" w:rsidRDefault="00863C6C" w:rsidP="00520983">
      <w:pPr>
        <w:spacing w:after="160" w:line="259" w:lineRule="auto"/>
        <w:jc w:val="both"/>
        <w:rPr>
          <w:sz w:val="22"/>
          <w:szCs w:val="22"/>
        </w:rPr>
      </w:pPr>
      <w:r w:rsidRPr="00520983">
        <w:rPr>
          <w:sz w:val="22"/>
          <w:szCs w:val="22"/>
        </w:rPr>
        <w:t xml:space="preserve">C’est ainsi que </w:t>
      </w:r>
      <w:r w:rsidRPr="00520983">
        <w:rPr>
          <w:b/>
          <w:sz w:val="22"/>
          <w:szCs w:val="22"/>
          <w:u w:val="single"/>
        </w:rPr>
        <w:t>Le 24 avril 2021</w:t>
      </w:r>
      <w:r w:rsidRPr="00520983">
        <w:rPr>
          <w:sz w:val="22"/>
          <w:szCs w:val="22"/>
        </w:rPr>
        <w:t>, à Moanda (Province du Haut-Ogooué), les agents de la direction générale des recherches (DGR) de Franceville, accompagnés d’un juriste de l’ONG Conservation Justice l’ont à nouveau interpellé.  Ilsera</w:t>
      </w:r>
      <w:r w:rsidRPr="00520983">
        <w:rPr>
          <w:rFonts w:eastAsiaTheme="minorHAnsi"/>
          <w:sz w:val="22"/>
          <w:szCs w:val="22"/>
        </w:rPr>
        <w:t xml:space="preserve"> transféré sur Libreville pour être présenté </w:t>
      </w:r>
      <w:r w:rsidRPr="00520983">
        <w:rPr>
          <w:sz w:val="22"/>
          <w:szCs w:val="22"/>
        </w:rPr>
        <w:t>devant le Procureur de la formation spécialisée du Tribunal de Première Instance de Libreville</w:t>
      </w:r>
      <w:r w:rsidRPr="00520983">
        <w:rPr>
          <w:rFonts w:eastAsiaTheme="minorHAnsi"/>
          <w:sz w:val="22"/>
          <w:szCs w:val="22"/>
        </w:rPr>
        <w:t xml:space="preserve"> qui </w:t>
      </w:r>
      <w:r w:rsidRPr="00520983">
        <w:rPr>
          <w:sz w:val="22"/>
          <w:szCs w:val="22"/>
        </w:rPr>
        <w:t xml:space="preserve">est compétent pour connaitre ce type de délit. </w:t>
      </w:r>
    </w:p>
    <w:p w:rsidR="00863C6C" w:rsidRPr="00520983" w:rsidRDefault="00863C6C" w:rsidP="00520983">
      <w:pPr>
        <w:jc w:val="both"/>
        <w:rPr>
          <w:rFonts w:eastAsiaTheme="minorHAnsi"/>
          <w:sz w:val="22"/>
          <w:szCs w:val="22"/>
        </w:rPr>
      </w:pPr>
      <w:r w:rsidRPr="00520983">
        <w:rPr>
          <w:sz w:val="22"/>
          <w:szCs w:val="22"/>
        </w:rPr>
        <w:lastRenderedPageBreak/>
        <w:t xml:space="preserve">Aussi, </w:t>
      </w:r>
      <w:r w:rsidRPr="00520983">
        <w:rPr>
          <w:color w:val="222222"/>
          <w:sz w:val="22"/>
          <w:szCs w:val="22"/>
        </w:rPr>
        <w:t xml:space="preserve">à Franceville  </w:t>
      </w:r>
      <w:r w:rsidRPr="00520983">
        <w:rPr>
          <w:sz w:val="22"/>
          <w:szCs w:val="22"/>
        </w:rPr>
        <w:t>(Province du Haut-Og</w:t>
      </w:r>
      <w:r w:rsidR="00104DBF">
        <w:rPr>
          <w:sz w:val="22"/>
          <w:szCs w:val="22"/>
        </w:rPr>
        <w:t>o</w:t>
      </w:r>
      <w:r w:rsidRPr="00520983">
        <w:rPr>
          <w:sz w:val="22"/>
          <w:szCs w:val="22"/>
        </w:rPr>
        <w:t>oué)</w:t>
      </w:r>
      <w:r w:rsidRPr="00520983">
        <w:rPr>
          <w:color w:val="222222"/>
          <w:sz w:val="22"/>
          <w:szCs w:val="22"/>
        </w:rPr>
        <w:t>, le chef d’antenne de la DGR de Franceville a informé l’ONG Conservation Justice de la réussite de deux (2) opérations ayant conduit à</w:t>
      </w:r>
      <w:r w:rsidRPr="00520983">
        <w:rPr>
          <w:sz w:val="22"/>
          <w:szCs w:val="22"/>
        </w:rPr>
        <w:t xml:space="preserve"> l’interpellation, des nommés OKIE RodyWester et SAMBA Jacques </w:t>
      </w:r>
      <w:r w:rsidRPr="00520983">
        <w:rPr>
          <w:b/>
          <w:sz w:val="22"/>
          <w:szCs w:val="22"/>
          <w:u w:val="single"/>
        </w:rPr>
        <w:t>le 13 avril 2021</w:t>
      </w:r>
      <w:r w:rsidRPr="00520983">
        <w:rPr>
          <w:sz w:val="22"/>
          <w:szCs w:val="22"/>
        </w:rPr>
        <w:t xml:space="preserve"> en possession de quatre (4) pointes d’ivoire brut qu’ils s’apprêtaient  de vendre  et </w:t>
      </w:r>
      <w:r w:rsidRPr="00520983">
        <w:rPr>
          <w:b/>
          <w:sz w:val="22"/>
          <w:szCs w:val="22"/>
          <w:u w:val="single"/>
        </w:rPr>
        <w:t>le 14 avril 2021</w:t>
      </w:r>
      <w:r w:rsidRPr="00520983">
        <w:rPr>
          <w:sz w:val="22"/>
          <w:szCs w:val="22"/>
        </w:rPr>
        <w:t xml:space="preserve">, OKANDA Régis et MBAMBA NGANGOU Garcia ont été également appréhendés avec deux (2) pointes d’ivoire, tous de nationalité gabonaise.  Conservation Justice a appuyé le parquet et les agents dans le suivi de la procédure. </w:t>
      </w:r>
      <w:r w:rsidRPr="00520983">
        <w:rPr>
          <w:rFonts w:eastAsiaTheme="minorHAnsi"/>
          <w:sz w:val="22"/>
          <w:szCs w:val="22"/>
        </w:rPr>
        <w:t>Ils ont été transférés sur Libreville pour être présenté</w:t>
      </w:r>
      <w:r w:rsidR="00104DBF">
        <w:rPr>
          <w:rFonts w:eastAsiaTheme="minorHAnsi"/>
          <w:sz w:val="22"/>
          <w:szCs w:val="22"/>
        </w:rPr>
        <w:t>s</w:t>
      </w:r>
      <w:r w:rsidRPr="00520983">
        <w:rPr>
          <w:sz w:val="22"/>
          <w:szCs w:val="22"/>
        </w:rPr>
        <w:t>devant le Procureur de la formation spécialisée du Tribunal de Première Instance de Libreville</w:t>
      </w:r>
      <w:r w:rsidRPr="00520983">
        <w:rPr>
          <w:rFonts w:eastAsiaTheme="minorHAnsi"/>
          <w:sz w:val="22"/>
          <w:szCs w:val="22"/>
        </w:rPr>
        <w:t xml:space="preserve"> qui va décerner un mandat de dépôt en leurs encontre en attendant leur jugement.</w:t>
      </w:r>
    </w:p>
    <w:p w:rsidR="00863C6C" w:rsidRPr="00520983" w:rsidRDefault="00863C6C" w:rsidP="00520983">
      <w:pPr>
        <w:jc w:val="both"/>
        <w:rPr>
          <w:rStyle w:val="Accentuation"/>
          <w:i w:val="0"/>
          <w:iCs w:val="0"/>
          <w:sz w:val="22"/>
          <w:szCs w:val="22"/>
        </w:rPr>
      </w:pPr>
    </w:p>
    <w:p w:rsidR="00863C6C" w:rsidRPr="00520983" w:rsidRDefault="00863C6C" w:rsidP="00520983">
      <w:pPr>
        <w:jc w:val="both"/>
        <w:rPr>
          <w:sz w:val="22"/>
          <w:szCs w:val="22"/>
          <w:lang w:val="fr-BE"/>
        </w:rPr>
      </w:pPr>
      <w:r w:rsidRPr="00520983">
        <w:rPr>
          <w:b/>
          <w:color w:val="222222"/>
          <w:sz w:val="22"/>
          <w:szCs w:val="22"/>
          <w:u w:val="single"/>
        </w:rPr>
        <w:t>Le 22 avril 2021</w:t>
      </w:r>
      <w:r w:rsidRPr="00520983">
        <w:rPr>
          <w:color w:val="222222"/>
          <w:sz w:val="22"/>
          <w:szCs w:val="22"/>
        </w:rPr>
        <w:t xml:space="preserve"> à Mouila </w:t>
      </w:r>
      <w:r w:rsidRPr="00520983">
        <w:rPr>
          <w:sz w:val="22"/>
          <w:szCs w:val="22"/>
        </w:rPr>
        <w:t>(Province de la Ngounié)</w:t>
      </w:r>
      <w:r w:rsidRPr="00520983">
        <w:rPr>
          <w:color w:val="222222"/>
          <w:sz w:val="22"/>
          <w:szCs w:val="22"/>
        </w:rPr>
        <w:t xml:space="preserve">, le chef d’antenne de la Police Judiciaire de Mouila a informé l’ONG Conservation Justice </w:t>
      </w:r>
      <w:r w:rsidRPr="00520983">
        <w:rPr>
          <w:sz w:val="22"/>
          <w:szCs w:val="22"/>
        </w:rPr>
        <w:t>de la saisie par ses agents de deux pointes d’ivoire au domicile de MAGAMA Klayne Karel, lors d’une perquisition pour vol aggravé.</w:t>
      </w:r>
    </w:p>
    <w:p w:rsidR="001F18DF" w:rsidRPr="00520983" w:rsidRDefault="001F18DF" w:rsidP="00520983">
      <w:pPr>
        <w:jc w:val="both"/>
        <w:rPr>
          <w:sz w:val="22"/>
          <w:szCs w:val="22"/>
          <w:lang w:val="fr-BE"/>
        </w:rPr>
      </w:pPr>
    </w:p>
    <w:p w:rsidR="000B7079" w:rsidRPr="00520983" w:rsidRDefault="000B7079" w:rsidP="00520983">
      <w:pPr>
        <w:pStyle w:val="Titre1"/>
        <w:shd w:val="clear" w:color="auto" w:fill="000000" w:themeFill="text1"/>
        <w:jc w:val="both"/>
        <w:rPr>
          <w:rStyle w:val="Accentuation"/>
          <w:i w:val="0"/>
          <w:sz w:val="22"/>
          <w:szCs w:val="22"/>
        </w:rPr>
      </w:pPr>
      <w:bookmarkStart w:id="4" w:name="_Toc7774929"/>
      <w:r w:rsidRPr="00520983">
        <w:rPr>
          <w:rStyle w:val="Accentuation"/>
          <w:i w:val="0"/>
          <w:sz w:val="22"/>
          <w:szCs w:val="22"/>
        </w:rPr>
        <w:t>Département juridique</w:t>
      </w:r>
      <w:bookmarkEnd w:id="4"/>
    </w:p>
    <w:p w:rsidR="004705F9" w:rsidRPr="00520983" w:rsidRDefault="004705F9" w:rsidP="00520983">
      <w:pPr>
        <w:jc w:val="both"/>
        <w:rPr>
          <w:rStyle w:val="Accentuation"/>
          <w:sz w:val="22"/>
          <w:szCs w:val="22"/>
        </w:rPr>
      </w:pPr>
    </w:p>
    <w:p w:rsidR="00863C6C" w:rsidRPr="00520983" w:rsidRDefault="00863C6C" w:rsidP="00520983">
      <w:pPr>
        <w:ind w:right="28"/>
        <w:jc w:val="both"/>
        <w:rPr>
          <w:sz w:val="22"/>
          <w:szCs w:val="22"/>
          <w:lang w:eastAsia="fr-FR"/>
        </w:rPr>
      </w:pPr>
      <w:r w:rsidRPr="00E118A5">
        <w:rPr>
          <w:b/>
          <w:sz w:val="22"/>
          <w:szCs w:val="22"/>
          <w:u w:val="single"/>
          <w:lang w:eastAsia="fr-FR"/>
        </w:rPr>
        <w:t>Le 09 et 23 avril 2021</w:t>
      </w:r>
      <w:r w:rsidRPr="00E118A5">
        <w:rPr>
          <w:sz w:val="22"/>
          <w:szCs w:val="22"/>
          <w:u w:val="single"/>
          <w:lang w:eastAsia="fr-FR"/>
        </w:rPr>
        <w:t>,</w:t>
      </w:r>
      <w:r w:rsidRPr="00520983">
        <w:rPr>
          <w:sz w:val="22"/>
          <w:szCs w:val="22"/>
          <w:lang w:eastAsia="fr-FR"/>
        </w:rPr>
        <w:t xml:space="preserve"> il y a eu des audiences de plaidoiries et de délibérées de six (6) affaires :</w:t>
      </w:r>
    </w:p>
    <w:p w:rsidR="00C672FB" w:rsidRPr="00520983" w:rsidRDefault="00C672FB" w:rsidP="00520983">
      <w:pPr>
        <w:jc w:val="both"/>
        <w:rPr>
          <w:rStyle w:val="Accentuation"/>
          <w:i w:val="0"/>
          <w:iCs w:val="0"/>
          <w:sz w:val="22"/>
          <w:szCs w:val="22"/>
          <w:lang w:eastAsia="fr-FR"/>
        </w:rPr>
      </w:pPr>
    </w:p>
    <w:p w:rsidR="00306FD5" w:rsidRPr="00520983" w:rsidRDefault="00306FD5" w:rsidP="00520983">
      <w:pPr>
        <w:spacing w:after="240"/>
        <w:jc w:val="both"/>
        <w:rPr>
          <w:rStyle w:val="Accentuation"/>
          <w:b/>
          <w:i w:val="0"/>
          <w:sz w:val="22"/>
          <w:szCs w:val="22"/>
        </w:rPr>
      </w:pPr>
      <w:r w:rsidRPr="00520983">
        <w:rPr>
          <w:rStyle w:val="Accentuation"/>
          <w:b/>
          <w:i w:val="0"/>
          <w:sz w:val="22"/>
          <w:szCs w:val="22"/>
        </w:rPr>
        <w:t xml:space="preserve">4.1. Suivi des affaires </w:t>
      </w:r>
    </w:p>
    <w:p w:rsidR="00306FD5" w:rsidRPr="00520983" w:rsidRDefault="00306FD5" w:rsidP="00520983">
      <w:pPr>
        <w:spacing w:after="240"/>
        <w:jc w:val="both"/>
        <w:rPr>
          <w:rStyle w:val="Accentuation"/>
          <w:i w:val="0"/>
          <w:sz w:val="22"/>
          <w:szCs w:val="22"/>
        </w:rPr>
      </w:pPr>
      <w:r w:rsidRPr="00520983">
        <w:rPr>
          <w:rStyle w:val="Accentuation"/>
          <w:i w:val="0"/>
          <w:sz w:val="22"/>
          <w:szCs w:val="22"/>
        </w:rPr>
        <w:t>Indicateur:</w:t>
      </w:r>
    </w:p>
    <w:tbl>
      <w:tblPr>
        <w:tblStyle w:val="Grilledetableauclaire1"/>
        <w:tblW w:w="0" w:type="auto"/>
        <w:jc w:val="center"/>
        <w:tblLook w:val="04A0"/>
      </w:tblPr>
      <w:tblGrid>
        <w:gridCol w:w="4644"/>
        <w:gridCol w:w="4200"/>
      </w:tblGrid>
      <w:tr w:rsidR="00306FD5" w:rsidRPr="00520983" w:rsidTr="000B5D2B">
        <w:trPr>
          <w:jc w:val="center"/>
        </w:trPr>
        <w:tc>
          <w:tcPr>
            <w:tcW w:w="4644" w:type="dxa"/>
          </w:tcPr>
          <w:p w:rsidR="00306FD5" w:rsidRPr="00520983" w:rsidRDefault="00306FD5" w:rsidP="00520983">
            <w:pPr>
              <w:jc w:val="both"/>
              <w:rPr>
                <w:rStyle w:val="Accentuation"/>
                <w:i w:val="0"/>
                <w:sz w:val="22"/>
                <w:szCs w:val="22"/>
              </w:rPr>
            </w:pPr>
            <w:r w:rsidRPr="00520983">
              <w:rPr>
                <w:rStyle w:val="Accentuation"/>
                <w:i w:val="0"/>
                <w:sz w:val="22"/>
                <w:szCs w:val="22"/>
              </w:rPr>
              <w:t>Nombre d’affaires suivies</w:t>
            </w:r>
          </w:p>
        </w:tc>
        <w:tc>
          <w:tcPr>
            <w:tcW w:w="4200" w:type="dxa"/>
          </w:tcPr>
          <w:p w:rsidR="00306FD5" w:rsidRPr="00520983" w:rsidRDefault="00400C84" w:rsidP="00520983">
            <w:pPr>
              <w:jc w:val="both"/>
              <w:rPr>
                <w:rStyle w:val="Accentuation"/>
                <w:i w:val="0"/>
                <w:sz w:val="22"/>
                <w:szCs w:val="22"/>
              </w:rPr>
            </w:pPr>
            <w:r w:rsidRPr="00520983">
              <w:rPr>
                <w:rStyle w:val="Accentuation"/>
                <w:i w:val="0"/>
                <w:sz w:val="22"/>
                <w:szCs w:val="22"/>
              </w:rPr>
              <w:t>0</w:t>
            </w:r>
            <w:r w:rsidR="00863C6C" w:rsidRPr="00520983">
              <w:rPr>
                <w:rStyle w:val="Accentuation"/>
                <w:i w:val="0"/>
                <w:sz w:val="22"/>
                <w:szCs w:val="22"/>
              </w:rPr>
              <w:t>6</w:t>
            </w:r>
          </w:p>
        </w:tc>
      </w:tr>
      <w:tr w:rsidR="00FE68C6" w:rsidRPr="00520983" w:rsidTr="000B5D2B">
        <w:trPr>
          <w:jc w:val="center"/>
        </w:trPr>
        <w:tc>
          <w:tcPr>
            <w:tcW w:w="4644" w:type="dxa"/>
          </w:tcPr>
          <w:p w:rsidR="00FE68C6" w:rsidRPr="00520983" w:rsidRDefault="00FE68C6" w:rsidP="00520983">
            <w:pPr>
              <w:jc w:val="both"/>
              <w:rPr>
                <w:rStyle w:val="Accentuation"/>
                <w:i w:val="0"/>
                <w:sz w:val="22"/>
                <w:szCs w:val="22"/>
              </w:rPr>
            </w:pPr>
            <w:r w:rsidRPr="00520983">
              <w:rPr>
                <w:rStyle w:val="Accentuation"/>
                <w:i w:val="0"/>
                <w:sz w:val="22"/>
                <w:szCs w:val="22"/>
              </w:rPr>
              <w:t>Nombre de condamnations</w:t>
            </w:r>
          </w:p>
        </w:tc>
        <w:tc>
          <w:tcPr>
            <w:tcW w:w="4200" w:type="dxa"/>
          </w:tcPr>
          <w:p w:rsidR="00FE68C6" w:rsidRPr="00520983" w:rsidRDefault="00863C6C" w:rsidP="00520983">
            <w:pPr>
              <w:jc w:val="both"/>
              <w:rPr>
                <w:rStyle w:val="Accentuation"/>
                <w:i w:val="0"/>
                <w:sz w:val="22"/>
                <w:szCs w:val="22"/>
              </w:rPr>
            </w:pPr>
            <w:r w:rsidRPr="00520983">
              <w:rPr>
                <w:rStyle w:val="Accentuation"/>
                <w:i w:val="0"/>
                <w:sz w:val="22"/>
                <w:szCs w:val="22"/>
              </w:rPr>
              <w:t>1</w:t>
            </w:r>
            <w:r w:rsidR="00517CD7">
              <w:rPr>
                <w:rStyle w:val="Accentuation"/>
                <w:i w:val="0"/>
                <w:sz w:val="22"/>
                <w:szCs w:val="22"/>
              </w:rPr>
              <w:t>2</w:t>
            </w:r>
          </w:p>
        </w:tc>
      </w:tr>
      <w:tr w:rsidR="00FE68C6" w:rsidRPr="00520983" w:rsidTr="000B5D2B">
        <w:trPr>
          <w:jc w:val="center"/>
        </w:trPr>
        <w:tc>
          <w:tcPr>
            <w:tcW w:w="4644" w:type="dxa"/>
          </w:tcPr>
          <w:p w:rsidR="00FE68C6" w:rsidRPr="00520983" w:rsidRDefault="00FE68C6" w:rsidP="00520983">
            <w:pPr>
              <w:jc w:val="both"/>
              <w:rPr>
                <w:rStyle w:val="Accentuation"/>
                <w:i w:val="0"/>
                <w:sz w:val="22"/>
                <w:szCs w:val="22"/>
              </w:rPr>
            </w:pPr>
            <w:r w:rsidRPr="00520983">
              <w:rPr>
                <w:rStyle w:val="Accentuation"/>
                <w:i w:val="0"/>
                <w:sz w:val="22"/>
                <w:szCs w:val="22"/>
              </w:rPr>
              <w:t>Affaires enregistrées</w:t>
            </w:r>
          </w:p>
        </w:tc>
        <w:tc>
          <w:tcPr>
            <w:tcW w:w="4200" w:type="dxa"/>
          </w:tcPr>
          <w:p w:rsidR="00FE68C6" w:rsidRPr="00520983" w:rsidRDefault="00FE68C6" w:rsidP="00520983">
            <w:pPr>
              <w:jc w:val="both"/>
              <w:rPr>
                <w:rStyle w:val="Accentuation"/>
                <w:i w:val="0"/>
                <w:sz w:val="22"/>
                <w:szCs w:val="22"/>
              </w:rPr>
            </w:pPr>
            <w:r w:rsidRPr="00520983">
              <w:rPr>
                <w:rStyle w:val="Accentuation"/>
                <w:i w:val="0"/>
                <w:sz w:val="22"/>
                <w:szCs w:val="22"/>
              </w:rPr>
              <w:t>0</w:t>
            </w:r>
            <w:r w:rsidR="00863C6C" w:rsidRPr="00520983">
              <w:rPr>
                <w:rStyle w:val="Accentuation"/>
                <w:i w:val="0"/>
                <w:sz w:val="22"/>
                <w:szCs w:val="22"/>
              </w:rPr>
              <w:t>2</w:t>
            </w:r>
          </w:p>
        </w:tc>
      </w:tr>
      <w:tr w:rsidR="00FE68C6" w:rsidRPr="00520983" w:rsidTr="000B5D2B">
        <w:trPr>
          <w:jc w:val="center"/>
        </w:trPr>
        <w:tc>
          <w:tcPr>
            <w:tcW w:w="4644" w:type="dxa"/>
          </w:tcPr>
          <w:p w:rsidR="00FE68C6" w:rsidRPr="00520983" w:rsidRDefault="00FE68C6" w:rsidP="00520983">
            <w:pPr>
              <w:jc w:val="both"/>
              <w:rPr>
                <w:rStyle w:val="Accentuation"/>
                <w:i w:val="0"/>
                <w:sz w:val="22"/>
                <w:szCs w:val="22"/>
              </w:rPr>
            </w:pPr>
            <w:r w:rsidRPr="00520983">
              <w:rPr>
                <w:rStyle w:val="Accentuation"/>
                <w:i w:val="0"/>
                <w:sz w:val="22"/>
                <w:szCs w:val="22"/>
              </w:rPr>
              <w:t>Nombre de prévenus</w:t>
            </w:r>
          </w:p>
        </w:tc>
        <w:tc>
          <w:tcPr>
            <w:tcW w:w="4200" w:type="dxa"/>
          </w:tcPr>
          <w:p w:rsidR="00FE68C6" w:rsidRPr="00520983" w:rsidRDefault="00863C6C" w:rsidP="00520983">
            <w:pPr>
              <w:jc w:val="both"/>
              <w:rPr>
                <w:rStyle w:val="Accentuation"/>
                <w:i w:val="0"/>
                <w:sz w:val="22"/>
                <w:szCs w:val="22"/>
              </w:rPr>
            </w:pPr>
            <w:r w:rsidRPr="00520983">
              <w:rPr>
                <w:rStyle w:val="Accentuation"/>
                <w:i w:val="0"/>
                <w:sz w:val="22"/>
                <w:szCs w:val="22"/>
              </w:rPr>
              <w:t>05</w:t>
            </w:r>
          </w:p>
        </w:tc>
      </w:tr>
    </w:tbl>
    <w:p w:rsidR="00924C70" w:rsidRPr="00520983" w:rsidRDefault="00924C70" w:rsidP="00520983">
      <w:pPr>
        <w:spacing w:line="276" w:lineRule="auto"/>
        <w:jc w:val="both"/>
        <w:rPr>
          <w:rStyle w:val="Accentuation"/>
          <w:i w:val="0"/>
          <w:sz w:val="22"/>
          <w:szCs w:val="22"/>
          <w:lang w:val="fr-BE"/>
        </w:rPr>
      </w:pPr>
    </w:p>
    <w:p w:rsidR="00FA6EC5" w:rsidRPr="00520983" w:rsidRDefault="00ED52D9" w:rsidP="00520983">
      <w:pPr>
        <w:spacing w:line="276" w:lineRule="auto"/>
        <w:jc w:val="both"/>
        <w:rPr>
          <w:rStyle w:val="Accentuation"/>
          <w:i w:val="0"/>
          <w:sz w:val="22"/>
          <w:szCs w:val="22"/>
          <w:lang w:val="fr-BE"/>
        </w:rPr>
      </w:pPr>
      <w:r w:rsidRPr="00520983">
        <w:rPr>
          <w:rStyle w:val="Accentuation"/>
          <w:i w:val="0"/>
          <w:sz w:val="22"/>
          <w:szCs w:val="22"/>
          <w:lang w:val="fr-BE"/>
        </w:rPr>
        <w:t>Ci-dessous l</w:t>
      </w:r>
      <w:r w:rsidR="009411D6" w:rsidRPr="00520983">
        <w:rPr>
          <w:rStyle w:val="Accentuation"/>
          <w:i w:val="0"/>
          <w:sz w:val="22"/>
          <w:szCs w:val="22"/>
          <w:lang w:val="fr-BE"/>
        </w:rPr>
        <w:t xml:space="preserve">es </w:t>
      </w:r>
      <w:r w:rsidR="00863C6C" w:rsidRPr="00520983">
        <w:rPr>
          <w:rStyle w:val="Accentuation"/>
          <w:i w:val="0"/>
          <w:sz w:val="22"/>
          <w:szCs w:val="22"/>
          <w:lang w:val="fr-BE"/>
        </w:rPr>
        <w:t>six (06</w:t>
      </w:r>
      <w:r w:rsidR="009411D6" w:rsidRPr="00520983">
        <w:rPr>
          <w:rStyle w:val="Accentuation"/>
          <w:i w:val="0"/>
          <w:sz w:val="22"/>
          <w:szCs w:val="22"/>
          <w:lang w:val="fr-BE"/>
        </w:rPr>
        <w:t>) affaires de trafic d’ivoire</w:t>
      </w:r>
      <w:r w:rsidR="00FA6EC5" w:rsidRPr="00520983">
        <w:rPr>
          <w:rStyle w:val="Accentuation"/>
          <w:i w:val="0"/>
          <w:sz w:val="22"/>
          <w:szCs w:val="22"/>
          <w:lang w:val="fr-BE"/>
        </w:rPr>
        <w:t xml:space="preserve"> suivies</w:t>
      </w:r>
      <w:r w:rsidRPr="00520983">
        <w:rPr>
          <w:rStyle w:val="Accentuation"/>
          <w:i w:val="0"/>
          <w:sz w:val="22"/>
          <w:szCs w:val="22"/>
          <w:lang w:val="fr-BE"/>
        </w:rPr>
        <w:t xml:space="preserve"> à </w:t>
      </w:r>
      <w:r w:rsidR="009311F4" w:rsidRPr="00520983">
        <w:rPr>
          <w:rStyle w:val="Accentuation"/>
          <w:i w:val="0"/>
          <w:sz w:val="22"/>
          <w:szCs w:val="22"/>
          <w:lang w:val="fr-BE"/>
        </w:rPr>
        <w:t>l’</w:t>
      </w:r>
      <w:r w:rsidR="00FA6EC5" w:rsidRPr="00520983">
        <w:rPr>
          <w:sz w:val="22"/>
          <w:szCs w:val="22"/>
          <w:lang w:val="fr-BE"/>
        </w:rPr>
        <w:t>audience de délibéré</w:t>
      </w:r>
      <w:r w:rsidR="00924C70" w:rsidRPr="00520983">
        <w:rPr>
          <w:rStyle w:val="Accentuation"/>
          <w:i w:val="0"/>
          <w:sz w:val="22"/>
          <w:szCs w:val="22"/>
          <w:lang w:val="fr-BE"/>
        </w:rPr>
        <w:t>:</w:t>
      </w:r>
    </w:p>
    <w:p w:rsidR="00FA6EC5" w:rsidRPr="00520983" w:rsidRDefault="00FA6EC5" w:rsidP="00520983">
      <w:pPr>
        <w:spacing w:line="276" w:lineRule="auto"/>
        <w:jc w:val="both"/>
        <w:rPr>
          <w:iCs/>
          <w:sz w:val="22"/>
          <w:szCs w:val="22"/>
          <w:lang w:val="fr-BE"/>
        </w:rPr>
      </w:pPr>
    </w:p>
    <w:p w:rsidR="00863C6C" w:rsidRPr="00520983" w:rsidRDefault="00863C6C" w:rsidP="00520983">
      <w:pPr>
        <w:ind w:right="28"/>
        <w:jc w:val="both"/>
        <w:rPr>
          <w:sz w:val="22"/>
          <w:szCs w:val="22"/>
          <w:lang w:eastAsia="fr-FR"/>
        </w:rPr>
      </w:pPr>
      <w:bookmarkStart w:id="5" w:name="_Toc7774930"/>
      <w:r w:rsidRPr="00520983">
        <w:rPr>
          <w:b/>
          <w:sz w:val="22"/>
          <w:szCs w:val="22"/>
          <w:lang w:eastAsia="fr-FR"/>
        </w:rPr>
        <w:t>1/ Affaire MP&amp;EF/ OKOUMA NDOLOU Marc, NIABOLO Hétan et BOUYOU Diane</w:t>
      </w:r>
    </w:p>
    <w:p w:rsidR="00863C6C" w:rsidRPr="00520983" w:rsidRDefault="00863C6C" w:rsidP="00520983">
      <w:pPr>
        <w:ind w:right="28"/>
        <w:jc w:val="both"/>
        <w:rPr>
          <w:sz w:val="22"/>
          <w:szCs w:val="22"/>
          <w:lang w:eastAsia="fr-FR"/>
        </w:rPr>
      </w:pPr>
      <w:r w:rsidRPr="00520983">
        <w:rPr>
          <w:sz w:val="22"/>
          <w:szCs w:val="22"/>
          <w:lang w:eastAsia="fr-FR"/>
        </w:rPr>
        <w:t>Le tribunal a déclaré non coupables les nommés OKOUMA NDOLOU Marc, NIABOLO Hétan et BOUYOU Diane des délits de détention et de tentative de vente d'ivoire. Par conséquent les en relaxe purement et simplement. Enfin, ordonne la levée du mandat de dépôt décerné à leur encontre ;</w:t>
      </w:r>
    </w:p>
    <w:p w:rsidR="00863C6C" w:rsidRPr="00520983" w:rsidRDefault="00863C6C" w:rsidP="00520983">
      <w:pPr>
        <w:ind w:right="28"/>
        <w:jc w:val="both"/>
        <w:rPr>
          <w:sz w:val="22"/>
          <w:szCs w:val="22"/>
          <w:lang w:eastAsia="fr-FR"/>
        </w:rPr>
      </w:pPr>
    </w:p>
    <w:p w:rsidR="00863C6C" w:rsidRPr="00520983" w:rsidRDefault="00863C6C" w:rsidP="00520983">
      <w:pPr>
        <w:ind w:right="28"/>
        <w:jc w:val="both"/>
        <w:rPr>
          <w:b/>
          <w:sz w:val="22"/>
          <w:szCs w:val="22"/>
          <w:lang w:eastAsia="fr-FR"/>
        </w:rPr>
      </w:pPr>
      <w:r w:rsidRPr="00520983">
        <w:rPr>
          <w:b/>
          <w:sz w:val="22"/>
          <w:szCs w:val="22"/>
          <w:lang w:eastAsia="fr-FR"/>
        </w:rPr>
        <w:t>2/ Affaire MP&amp;EF/ MANDJI Judicaël</w:t>
      </w:r>
    </w:p>
    <w:p w:rsidR="00863C6C" w:rsidRPr="00520983" w:rsidRDefault="00863C6C" w:rsidP="00520983">
      <w:pPr>
        <w:ind w:right="28"/>
        <w:jc w:val="both"/>
        <w:rPr>
          <w:sz w:val="22"/>
          <w:szCs w:val="22"/>
          <w:lang w:eastAsia="fr-FR"/>
        </w:rPr>
      </w:pPr>
      <w:r w:rsidRPr="00520983">
        <w:rPr>
          <w:sz w:val="22"/>
          <w:szCs w:val="22"/>
          <w:lang w:eastAsia="fr-FR"/>
        </w:rPr>
        <w:t>Ce dernier a été reconnu coupable de délit de détention illégale des pointes d'ivoire. En répression il a été condamné à 24 mois (14 assortis de sursis) de prison et 2.000.0000f CFA d'amende et 1.000.000f CFA de dommage et intérêts ;</w:t>
      </w:r>
    </w:p>
    <w:p w:rsidR="00863C6C" w:rsidRPr="00520983" w:rsidRDefault="00863C6C" w:rsidP="00520983">
      <w:pPr>
        <w:ind w:right="28"/>
        <w:jc w:val="both"/>
        <w:rPr>
          <w:sz w:val="22"/>
          <w:szCs w:val="22"/>
          <w:lang w:eastAsia="fr-FR"/>
        </w:rPr>
      </w:pPr>
    </w:p>
    <w:p w:rsidR="00863C6C" w:rsidRPr="00520983" w:rsidRDefault="00863C6C" w:rsidP="00520983">
      <w:pPr>
        <w:ind w:right="28"/>
        <w:jc w:val="both"/>
        <w:rPr>
          <w:sz w:val="22"/>
          <w:szCs w:val="22"/>
          <w:lang w:eastAsia="fr-FR"/>
        </w:rPr>
      </w:pPr>
      <w:r w:rsidRPr="00520983">
        <w:rPr>
          <w:b/>
          <w:sz w:val="22"/>
          <w:szCs w:val="22"/>
          <w:lang w:eastAsia="fr-FR"/>
        </w:rPr>
        <w:t>3 / Affaire MP&amp;EF/ CHINATOU Sunday, MAMBONDA Michel et GUIGUI Stéphane</w:t>
      </w:r>
    </w:p>
    <w:p w:rsidR="00863C6C" w:rsidRPr="00520983" w:rsidRDefault="00863C6C" w:rsidP="00520983">
      <w:pPr>
        <w:ind w:right="28"/>
        <w:jc w:val="both"/>
        <w:rPr>
          <w:sz w:val="22"/>
          <w:szCs w:val="22"/>
        </w:rPr>
      </w:pPr>
      <w:r w:rsidRPr="00520983">
        <w:rPr>
          <w:sz w:val="22"/>
          <w:szCs w:val="22"/>
          <w:lang w:eastAsia="fr-FR"/>
        </w:rPr>
        <w:t xml:space="preserve">Le tribunal a déclaré non coupable GUIGUI Stéphane du délit de détention et de tentative de vente d'ivoire et a été purement et simplement relaxé de ces chefs d'inculpation. En revanche a reconnu coupables les nommés CHINATOU Sunday et MAMBOUNDA Michel des délits de détention illégale des pointes d'ivoire et de tentative de vente d'ivoire. En répression, les condamne à 3 ans (dont 1 an assorti de sursis) et 16.000.000f CFA d'amende outre 6.000.000f CFA </w:t>
      </w:r>
      <w:r w:rsidRPr="00520983">
        <w:rPr>
          <w:sz w:val="22"/>
          <w:szCs w:val="22"/>
        </w:rPr>
        <w:t>de dommages et intérêts ;</w:t>
      </w:r>
    </w:p>
    <w:p w:rsidR="00863C6C" w:rsidRPr="00520983" w:rsidRDefault="00863C6C" w:rsidP="00520983">
      <w:pPr>
        <w:ind w:right="28"/>
        <w:jc w:val="both"/>
        <w:rPr>
          <w:sz w:val="22"/>
          <w:szCs w:val="22"/>
          <w:lang w:eastAsia="fr-FR"/>
        </w:rPr>
      </w:pPr>
    </w:p>
    <w:p w:rsidR="00863C6C" w:rsidRPr="00520983" w:rsidRDefault="00863C6C" w:rsidP="00520983">
      <w:pPr>
        <w:jc w:val="both"/>
        <w:rPr>
          <w:sz w:val="22"/>
          <w:szCs w:val="22"/>
          <w:lang w:eastAsia="fr-FR"/>
        </w:rPr>
      </w:pPr>
      <w:r w:rsidRPr="00520983">
        <w:rPr>
          <w:b/>
          <w:sz w:val="22"/>
          <w:szCs w:val="22"/>
          <w:lang w:eastAsia="fr-FR"/>
        </w:rPr>
        <w:t>4/ Affaire MP&amp;EF/DIALLO Bourama et Karim BENGALY</w:t>
      </w:r>
    </w:p>
    <w:p w:rsidR="00863C6C" w:rsidRDefault="00863C6C" w:rsidP="00520983">
      <w:pPr>
        <w:jc w:val="both"/>
        <w:rPr>
          <w:sz w:val="22"/>
          <w:szCs w:val="22"/>
        </w:rPr>
      </w:pPr>
      <w:r w:rsidRPr="00520983">
        <w:rPr>
          <w:sz w:val="22"/>
          <w:szCs w:val="22"/>
          <w:lang w:eastAsia="fr-FR"/>
        </w:rPr>
        <w:t>Le tribunal, après avoir délibéré conformément à la loi, a déclaré coupables Sieurs DIALLO Bourama et Karim BENGALY coupables des délits de détention illégale et de tentative de vente d'ivoire. En répression les condamne à 2 ans d'emprisonnement, 2.000.000f CFA d'amende et5.000.000f CFA</w:t>
      </w:r>
      <w:r w:rsidRPr="00520983">
        <w:rPr>
          <w:sz w:val="22"/>
          <w:szCs w:val="22"/>
        </w:rPr>
        <w:t xml:space="preserve"> de dommages et intérêts ;</w:t>
      </w:r>
    </w:p>
    <w:p w:rsidR="00E118A5" w:rsidRDefault="00E118A5" w:rsidP="00520983">
      <w:pPr>
        <w:jc w:val="both"/>
        <w:rPr>
          <w:sz w:val="22"/>
          <w:szCs w:val="22"/>
        </w:rPr>
      </w:pPr>
    </w:p>
    <w:p w:rsidR="00863C6C" w:rsidRPr="00520983" w:rsidRDefault="00863C6C" w:rsidP="00520983">
      <w:pPr>
        <w:jc w:val="both"/>
        <w:rPr>
          <w:sz w:val="22"/>
          <w:szCs w:val="22"/>
          <w:lang w:eastAsia="fr-FR"/>
        </w:rPr>
      </w:pPr>
    </w:p>
    <w:p w:rsidR="00863C6C" w:rsidRPr="00520983" w:rsidRDefault="00863C6C" w:rsidP="00520983">
      <w:pPr>
        <w:ind w:right="28"/>
        <w:jc w:val="both"/>
        <w:rPr>
          <w:sz w:val="22"/>
          <w:szCs w:val="22"/>
          <w:lang w:eastAsia="fr-FR"/>
        </w:rPr>
      </w:pPr>
      <w:r w:rsidRPr="00520983">
        <w:rPr>
          <w:b/>
          <w:sz w:val="22"/>
          <w:szCs w:val="22"/>
          <w:lang w:eastAsia="fr-FR"/>
        </w:rPr>
        <w:t>5/ Affaire MP&amp;EF/CHINATOU Sunday et KOUMBA OGOULA</w:t>
      </w:r>
    </w:p>
    <w:p w:rsidR="00863C6C" w:rsidRPr="00520983" w:rsidRDefault="00863C6C" w:rsidP="00520983">
      <w:pPr>
        <w:spacing w:after="160"/>
        <w:jc w:val="both"/>
        <w:rPr>
          <w:rFonts w:eastAsiaTheme="minorHAnsi"/>
          <w:sz w:val="22"/>
          <w:szCs w:val="22"/>
        </w:rPr>
      </w:pPr>
      <w:r w:rsidRPr="00520983">
        <w:rPr>
          <w:sz w:val="22"/>
          <w:szCs w:val="22"/>
          <w:lang w:eastAsia="fr-FR"/>
        </w:rPr>
        <w:lastRenderedPageBreak/>
        <w:t xml:space="preserve"> Le tribunal les a déclarés coupables des délits de détention illégale d'ivoire et de tentative de vente d'ivoire. En répression les condamne 2 ans de prison, 5.000.0000 d'amende et 3.000.000 </w:t>
      </w:r>
      <w:r w:rsidRPr="00520983">
        <w:rPr>
          <w:sz w:val="22"/>
          <w:szCs w:val="22"/>
        </w:rPr>
        <w:t>de dommages et intérêts ;</w:t>
      </w:r>
    </w:p>
    <w:p w:rsidR="00863C6C" w:rsidRPr="00520983" w:rsidRDefault="00863C6C" w:rsidP="00520983">
      <w:pPr>
        <w:ind w:right="28"/>
        <w:jc w:val="both"/>
        <w:rPr>
          <w:b/>
          <w:sz w:val="22"/>
          <w:szCs w:val="22"/>
        </w:rPr>
      </w:pPr>
      <w:r w:rsidRPr="00520983">
        <w:rPr>
          <w:b/>
          <w:sz w:val="22"/>
          <w:szCs w:val="22"/>
          <w:lang w:eastAsia="fr-FR"/>
        </w:rPr>
        <w:t>6/ Affaire MP&amp;EF/KOMBILA NZIGOU Karl et NZIENGUI Sogny</w:t>
      </w:r>
    </w:p>
    <w:p w:rsidR="00863C6C" w:rsidRPr="00520983" w:rsidRDefault="00863C6C" w:rsidP="00520983">
      <w:pPr>
        <w:spacing w:after="160"/>
        <w:jc w:val="both"/>
        <w:rPr>
          <w:sz w:val="22"/>
          <w:szCs w:val="22"/>
        </w:rPr>
      </w:pPr>
      <w:r w:rsidRPr="00520983">
        <w:rPr>
          <w:sz w:val="22"/>
          <w:szCs w:val="22"/>
        </w:rPr>
        <w:t>Á l’audience de plaidoirie du 09 Avril 2021, le procureur avait requis 3 ans fermes contre les nommés et une amende égale au triple de la valeur d’ivoire saisi contre les nommés KOMBILA NZIGOU Karl et NZIENGUI Sogny. L’avocat de l’administration des Eaux et Forêts, outre les 15.000.000f CFA réclamés à titre des dommages et intérêts en réparation du préjudice subi par son client, avait aussi sollicité l’application de la loi dans toute sa rigueur.</w:t>
      </w:r>
    </w:p>
    <w:p w:rsidR="00863C6C" w:rsidRPr="00520983" w:rsidRDefault="00863C6C" w:rsidP="00520983">
      <w:pPr>
        <w:spacing w:after="160" w:line="259" w:lineRule="auto"/>
        <w:jc w:val="both"/>
        <w:rPr>
          <w:b/>
          <w:sz w:val="22"/>
          <w:szCs w:val="22"/>
        </w:rPr>
      </w:pPr>
      <w:r w:rsidRPr="00520983">
        <w:rPr>
          <w:b/>
          <w:sz w:val="22"/>
          <w:szCs w:val="22"/>
        </w:rPr>
        <w:t xml:space="preserve">A l’audience de délibéré du 23 Avril 2021, </w:t>
      </w:r>
      <w:r w:rsidRPr="00520983">
        <w:rPr>
          <w:b/>
          <w:i/>
          <w:sz w:val="22"/>
          <w:szCs w:val="22"/>
        </w:rPr>
        <w:t>KOMBILA NZIGOU Karl et NZIENGUI Sogny</w:t>
      </w:r>
      <w:r w:rsidRPr="00520983">
        <w:rPr>
          <w:sz w:val="22"/>
          <w:szCs w:val="22"/>
        </w:rPr>
        <w:t xml:space="preserve"> ont respectivement été reconnus coupables des délits de détention illégale et de tentative de vente d’ivoire. En répression, le tribunal les a condamnés à 2 ans de prison dont 1 assorti de sursis, 675.0000 f CFA d’amende et au paiement d’une somme de 2.000.000f CFA à titre de dommages et intérêts.</w:t>
      </w:r>
    </w:p>
    <w:p w:rsidR="00306FD5" w:rsidRPr="00520983" w:rsidRDefault="00306FD5" w:rsidP="00520983">
      <w:pPr>
        <w:spacing w:before="120" w:after="120" w:line="276" w:lineRule="auto"/>
        <w:jc w:val="both"/>
        <w:rPr>
          <w:rStyle w:val="Accentuation"/>
          <w:b/>
          <w:i w:val="0"/>
          <w:sz w:val="22"/>
          <w:szCs w:val="22"/>
        </w:rPr>
      </w:pPr>
      <w:r w:rsidRPr="00520983">
        <w:rPr>
          <w:rStyle w:val="Accentuation"/>
          <w:b/>
          <w:sz w:val="22"/>
          <w:szCs w:val="22"/>
        </w:rPr>
        <w:t>4.2. Visites de prison</w:t>
      </w:r>
    </w:p>
    <w:p w:rsidR="00306FD5" w:rsidRPr="00520983" w:rsidRDefault="00306FD5" w:rsidP="00520983">
      <w:pPr>
        <w:spacing w:after="240"/>
        <w:jc w:val="both"/>
        <w:rPr>
          <w:rStyle w:val="Accentuation"/>
          <w:i w:val="0"/>
          <w:sz w:val="22"/>
          <w:szCs w:val="22"/>
        </w:rPr>
      </w:pPr>
      <w:r w:rsidRPr="00520983">
        <w:rPr>
          <w:rStyle w:val="Accentuation"/>
          <w:sz w:val="22"/>
          <w:szCs w:val="22"/>
        </w:rPr>
        <w:t>Indicateur:</w:t>
      </w:r>
    </w:p>
    <w:tbl>
      <w:tblPr>
        <w:tblStyle w:val="Grilledetableauclaire1"/>
        <w:tblW w:w="9208" w:type="dxa"/>
        <w:tblLook w:val="04A0"/>
      </w:tblPr>
      <w:tblGrid>
        <w:gridCol w:w="4531"/>
        <w:gridCol w:w="4677"/>
      </w:tblGrid>
      <w:tr w:rsidR="00306FD5" w:rsidRPr="00520983" w:rsidTr="000B5D2B">
        <w:trPr>
          <w:trHeight w:val="262"/>
        </w:trPr>
        <w:tc>
          <w:tcPr>
            <w:tcW w:w="4531" w:type="dxa"/>
          </w:tcPr>
          <w:p w:rsidR="00306FD5" w:rsidRPr="00520983" w:rsidRDefault="00306FD5" w:rsidP="00520983">
            <w:pPr>
              <w:jc w:val="both"/>
              <w:rPr>
                <w:rStyle w:val="Accentuation"/>
                <w:i w:val="0"/>
                <w:sz w:val="22"/>
                <w:szCs w:val="22"/>
              </w:rPr>
            </w:pPr>
            <w:r w:rsidRPr="00520983">
              <w:rPr>
                <w:rStyle w:val="Accentuation"/>
                <w:sz w:val="22"/>
                <w:szCs w:val="22"/>
              </w:rPr>
              <w:t>Nombre de visites effectuées</w:t>
            </w:r>
          </w:p>
        </w:tc>
        <w:tc>
          <w:tcPr>
            <w:tcW w:w="4677" w:type="dxa"/>
          </w:tcPr>
          <w:p w:rsidR="00306FD5" w:rsidRPr="00520983" w:rsidRDefault="00306FD5" w:rsidP="00520983">
            <w:pPr>
              <w:jc w:val="both"/>
              <w:rPr>
                <w:rStyle w:val="Accentuation"/>
                <w:i w:val="0"/>
                <w:sz w:val="22"/>
                <w:szCs w:val="22"/>
              </w:rPr>
            </w:pPr>
            <w:r w:rsidRPr="00520983">
              <w:rPr>
                <w:rStyle w:val="Accentuation"/>
                <w:sz w:val="22"/>
                <w:szCs w:val="22"/>
              </w:rPr>
              <w:t>0</w:t>
            </w:r>
            <w:r w:rsidR="00BE04BF" w:rsidRPr="00520983">
              <w:rPr>
                <w:rStyle w:val="Accentuation"/>
                <w:sz w:val="22"/>
                <w:szCs w:val="22"/>
              </w:rPr>
              <w:t>0</w:t>
            </w:r>
          </w:p>
        </w:tc>
      </w:tr>
      <w:tr w:rsidR="00306FD5" w:rsidRPr="00520983" w:rsidTr="000B5D2B">
        <w:trPr>
          <w:trHeight w:val="262"/>
        </w:trPr>
        <w:tc>
          <w:tcPr>
            <w:tcW w:w="4531" w:type="dxa"/>
          </w:tcPr>
          <w:p w:rsidR="00306FD5" w:rsidRPr="00520983" w:rsidRDefault="00306FD5" w:rsidP="00520983">
            <w:pPr>
              <w:jc w:val="both"/>
              <w:rPr>
                <w:rStyle w:val="Accentuation"/>
                <w:i w:val="0"/>
                <w:sz w:val="22"/>
                <w:szCs w:val="22"/>
              </w:rPr>
            </w:pPr>
            <w:r w:rsidRPr="00520983">
              <w:rPr>
                <w:rStyle w:val="Accentuation"/>
                <w:sz w:val="22"/>
                <w:szCs w:val="22"/>
              </w:rPr>
              <w:t>Nombre de détenus rencontrés</w:t>
            </w:r>
          </w:p>
        </w:tc>
        <w:tc>
          <w:tcPr>
            <w:tcW w:w="4677" w:type="dxa"/>
          </w:tcPr>
          <w:p w:rsidR="00306FD5" w:rsidRPr="00520983" w:rsidRDefault="0035316B" w:rsidP="00520983">
            <w:pPr>
              <w:jc w:val="both"/>
              <w:rPr>
                <w:rStyle w:val="Accentuation"/>
                <w:i w:val="0"/>
                <w:sz w:val="22"/>
                <w:szCs w:val="22"/>
              </w:rPr>
            </w:pPr>
            <w:r w:rsidRPr="00520983">
              <w:rPr>
                <w:rStyle w:val="Accentuation"/>
                <w:sz w:val="22"/>
                <w:szCs w:val="22"/>
              </w:rPr>
              <w:t>0</w:t>
            </w:r>
            <w:r w:rsidR="00BE04BF" w:rsidRPr="00520983">
              <w:rPr>
                <w:rStyle w:val="Accentuation"/>
                <w:sz w:val="22"/>
                <w:szCs w:val="22"/>
              </w:rPr>
              <w:t>0</w:t>
            </w:r>
          </w:p>
        </w:tc>
      </w:tr>
    </w:tbl>
    <w:p w:rsidR="00596D7F" w:rsidRPr="00520983" w:rsidRDefault="00596D7F" w:rsidP="00520983">
      <w:pPr>
        <w:jc w:val="both"/>
        <w:rPr>
          <w:rStyle w:val="Accentuation"/>
          <w:sz w:val="22"/>
          <w:szCs w:val="22"/>
          <w:lang w:val="fr-BE"/>
        </w:rPr>
      </w:pPr>
    </w:p>
    <w:p w:rsidR="00924C70" w:rsidRPr="00520983" w:rsidRDefault="00924C70" w:rsidP="00520983">
      <w:pPr>
        <w:jc w:val="both"/>
        <w:rPr>
          <w:rStyle w:val="Accentuation"/>
          <w:i w:val="0"/>
          <w:sz w:val="22"/>
          <w:szCs w:val="22"/>
        </w:rPr>
      </w:pPr>
      <w:r w:rsidRPr="00520983">
        <w:rPr>
          <w:rStyle w:val="Accentuation"/>
          <w:i w:val="0"/>
          <w:sz w:val="22"/>
          <w:szCs w:val="22"/>
        </w:rPr>
        <w:t>Pour cause de crise sanitaire liée à la pandémie de coronavirus, il n’y a toujours pas eu de visites de prison. Seules les visites des gardés e</w:t>
      </w:r>
      <w:r w:rsidR="006B23D4" w:rsidRPr="00520983">
        <w:rPr>
          <w:rStyle w:val="Accentuation"/>
          <w:i w:val="0"/>
          <w:sz w:val="22"/>
          <w:szCs w:val="22"/>
        </w:rPr>
        <w:t>n vue ont été effectuées par le juriste</w:t>
      </w:r>
      <w:r w:rsidRPr="00520983">
        <w:rPr>
          <w:rStyle w:val="Accentuation"/>
          <w:i w:val="0"/>
          <w:sz w:val="22"/>
          <w:szCs w:val="22"/>
        </w:rPr>
        <w:t xml:space="preserve"> pour le cas de </w:t>
      </w:r>
      <w:r w:rsidR="006B23D4" w:rsidRPr="00520983">
        <w:rPr>
          <w:rStyle w:val="Accentuation"/>
          <w:i w:val="0"/>
          <w:sz w:val="22"/>
          <w:szCs w:val="22"/>
        </w:rPr>
        <w:t>Franceville</w:t>
      </w:r>
      <w:r w:rsidRPr="00520983">
        <w:rPr>
          <w:rStyle w:val="Accentuation"/>
          <w:i w:val="0"/>
          <w:sz w:val="22"/>
          <w:szCs w:val="22"/>
        </w:rPr>
        <w:t>.</w:t>
      </w:r>
    </w:p>
    <w:p w:rsidR="00ED52D9" w:rsidRPr="00520983" w:rsidRDefault="00ED52D9" w:rsidP="00520983">
      <w:pPr>
        <w:jc w:val="both"/>
        <w:rPr>
          <w:rStyle w:val="Accentuation"/>
          <w:sz w:val="22"/>
          <w:szCs w:val="22"/>
        </w:rPr>
      </w:pPr>
    </w:p>
    <w:p w:rsidR="000B7079" w:rsidRPr="00520983" w:rsidRDefault="000B7079" w:rsidP="00520983">
      <w:pPr>
        <w:pStyle w:val="Titre1"/>
        <w:shd w:val="clear" w:color="auto" w:fill="000000" w:themeFill="text1"/>
        <w:jc w:val="both"/>
        <w:rPr>
          <w:rStyle w:val="Accentuation"/>
          <w:i w:val="0"/>
          <w:sz w:val="22"/>
          <w:szCs w:val="22"/>
        </w:rPr>
      </w:pPr>
      <w:r w:rsidRPr="00520983">
        <w:rPr>
          <w:rStyle w:val="Accentuation"/>
          <w:sz w:val="22"/>
          <w:szCs w:val="22"/>
        </w:rPr>
        <w:t>Communication</w:t>
      </w:r>
      <w:bookmarkEnd w:id="5"/>
    </w:p>
    <w:p w:rsidR="000B7079" w:rsidRPr="00520983" w:rsidRDefault="000B7079" w:rsidP="00520983">
      <w:pPr>
        <w:jc w:val="both"/>
        <w:rPr>
          <w:rStyle w:val="Accentuation"/>
          <w:i w:val="0"/>
          <w:sz w:val="22"/>
          <w:szCs w:val="22"/>
        </w:rPr>
      </w:pPr>
    </w:p>
    <w:p w:rsidR="000B7079" w:rsidRPr="00520983" w:rsidRDefault="000B7079" w:rsidP="00520983">
      <w:pPr>
        <w:spacing w:after="240"/>
        <w:jc w:val="both"/>
        <w:rPr>
          <w:rStyle w:val="Accentuation"/>
          <w:i w:val="0"/>
          <w:sz w:val="22"/>
          <w:szCs w:val="22"/>
        </w:rPr>
      </w:pPr>
      <w:r w:rsidRPr="00520983">
        <w:rPr>
          <w:rStyle w:val="Accentuation"/>
          <w:sz w:val="22"/>
          <w:szCs w:val="22"/>
        </w:rPr>
        <w:t>Indicateur:</w:t>
      </w:r>
    </w:p>
    <w:tbl>
      <w:tblPr>
        <w:tblStyle w:val="Grilledetableauclaire1"/>
        <w:tblW w:w="8897" w:type="dxa"/>
        <w:tblLook w:val="04A0"/>
      </w:tblPr>
      <w:tblGrid>
        <w:gridCol w:w="4606"/>
        <w:gridCol w:w="4291"/>
      </w:tblGrid>
      <w:tr w:rsidR="000B7079" w:rsidRPr="00520983" w:rsidTr="000F4C8D">
        <w:trPr>
          <w:trHeight w:val="81"/>
        </w:trPr>
        <w:tc>
          <w:tcPr>
            <w:tcW w:w="4606" w:type="dxa"/>
          </w:tcPr>
          <w:p w:rsidR="000B7079" w:rsidRPr="00520983" w:rsidRDefault="000B7079" w:rsidP="00520983">
            <w:pPr>
              <w:jc w:val="both"/>
              <w:rPr>
                <w:rStyle w:val="Accentuation"/>
                <w:i w:val="0"/>
                <w:sz w:val="22"/>
                <w:szCs w:val="22"/>
              </w:rPr>
            </w:pPr>
            <w:r w:rsidRPr="00520983">
              <w:rPr>
                <w:rStyle w:val="Accentuation"/>
                <w:sz w:val="22"/>
                <w:szCs w:val="22"/>
              </w:rPr>
              <w:t>Nombre de pièces publiées</w:t>
            </w:r>
          </w:p>
        </w:tc>
        <w:tc>
          <w:tcPr>
            <w:tcW w:w="4291" w:type="dxa"/>
          </w:tcPr>
          <w:p w:rsidR="000B7079" w:rsidRPr="00520983" w:rsidRDefault="006B23D4" w:rsidP="00520983">
            <w:pPr>
              <w:jc w:val="both"/>
              <w:rPr>
                <w:rStyle w:val="Accentuation"/>
                <w:i w:val="0"/>
                <w:sz w:val="22"/>
                <w:szCs w:val="22"/>
              </w:rPr>
            </w:pPr>
            <w:r w:rsidRPr="00520983">
              <w:rPr>
                <w:rStyle w:val="Accentuation"/>
                <w:sz w:val="22"/>
                <w:szCs w:val="22"/>
              </w:rPr>
              <w:t>18</w:t>
            </w:r>
          </w:p>
        </w:tc>
      </w:tr>
      <w:tr w:rsidR="000B7079" w:rsidRPr="00520983" w:rsidTr="000F4C8D">
        <w:trPr>
          <w:trHeight w:val="272"/>
        </w:trPr>
        <w:tc>
          <w:tcPr>
            <w:tcW w:w="4606" w:type="dxa"/>
          </w:tcPr>
          <w:p w:rsidR="000B7079" w:rsidRPr="00520983" w:rsidRDefault="000B7079" w:rsidP="00520983">
            <w:pPr>
              <w:jc w:val="both"/>
              <w:rPr>
                <w:rStyle w:val="Accentuation"/>
                <w:i w:val="0"/>
                <w:sz w:val="22"/>
                <w:szCs w:val="22"/>
              </w:rPr>
            </w:pPr>
            <w:r w:rsidRPr="00520983">
              <w:rPr>
                <w:rStyle w:val="Accentuation"/>
                <w:sz w:val="22"/>
                <w:szCs w:val="22"/>
              </w:rPr>
              <w:t>Télévision</w:t>
            </w:r>
          </w:p>
        </w:tc>
        <w:tc>
          <w:tcPr>
            <w:tcW w:w="4291" w:type="dxa"/>
          </w:tcPr>
          <w:p w:rsidR="000B7079" w:rsidRPr="00520983" w:rsidRDefault="00011D3D" w:rsidP="00520983">
            <w:pPr>
              <w:jc w:val="both"/>
              <w:rPr>
                <w:rStyle w:val="Accentuation"/>
                <w:i w:val="0"/>
                <w:sz w:val="22"/>
                <w:szCs w:val="22"/>
              </w:rPr>
            </w:pPr>
            <w:r w:rsidRPr="00520983">
              <w:rPr>
                <w:rStyle w:val="Accentuation"/>
                <w:sz w:val="22"/>
                <w:szCs w:val="22"/>
              </w:rPr>
              <w:t>0</w:t>
            </w:r>
            <w:r w:rsidR="006B23D4" w:rsidRPr="00520983">
              <w:rPr>
                <w:rStyle w:val="Accentuation"/>
                <w:sz w:val="22"/>
                <w:szCs w:val="22"/>
              </w:rPr>
              <w:t>2</w:t>
            </w:r>
          </w:p>
        </w:tc>
      </w:tr>
      <w:tr w:rsidR="000B7079" w:rsidRPr="00520983" w:rsidTr="000F4C8D">
        <w:trPr>
          <w:trHeight w:val="272"/>
        </w:trPr>
        <w:tc>
          <w:tcPr>
            <w:tcW w:w="4606" w:type="dxa"/>
          </w:tcPr>
          <w:p w:rsidR="000B7079" w:rsidRPr="00520983" w:rsidRDefault="000B7079" w:rsidP="00520983">
            <w:pPr>
              <w:jc w:val="both"/>
              <w:rPr>
                <w:rStyle w:val="Accentuation"/>
                <w:i w:val="0"/>
                <w:sz w:val="22"/>
                <w:szCs w:val="22"/>
              </w:rPr>
            </w:pPr>
            <w:r w:rsidRPr="00520983">
              <w:rPr>
                <w:rStyle w:val="Accentuation"/>
                <w:sz w:val="22"/>
                <w:szCs w:val="22"/>
              </w:rPr>
              <w:t>Internet</w:t>
            </w:r>
          </w:p>
        </w:tc>
        <w:tc>
          <w:tcPr>
            <w:tcW w:w="4291" w:type="dxa"/>
          </w:tcPr>
          <w:p w:rsidR="000B7079" w:rsidRPr="00520983" w:rsidRDefault="006B23D4" w:rsidP="00520983">
            <w:pPr>
              <w:jc w:val="both"/>
              <w:rPr>
                <w:rStyle w:val="Accentuation"/>
                <w:i w:val="0"/>
                <w:sz w:val="22"/>
                <w:szCs w:val="22"/>
              </w:rPr>
            </w:pPr>
            <w:r w:rsidRPr="00520983">
              <w:rPr>
                <w:rStyle w:val="Accentuation"/>
                <w:i w:val="0"/>
                <w:sz w:val="22"/>
                <w:szCs w:val="22"/>
              </w:rPr>
              <w:t>12</w:t>
            </w:r>
          </w:p>
        </w:tc>
      </w:tr>
      <w:tr w:rsidR="000B7079" w:rsidRPr="00520983" w:rsidTr="000F4C8D">
        <w:trPr>
          <w:trHeight w:val="272"/>
        </w:trPr>
        <w:tc>
          <w:tcPr>
            <w:tcW w:w="4606" w:type="dxa"/>
          </w:tcPr>
          <w:p w:rsidR="000B7079" w:rsidRPr="00520983" w:rsidRDefault="000B7079" w:rsidP="00520983">
            <w:pPr>
              <w:jc w:val="both"/>
              <w:rPr>
                <w:rStyle w:val="Accentuation"/>
                <w:i w:val="0"/>
                <w:sz w:val="22"/>
                <w:szCs w:val="22"/>
              </w:rPr>
            </w:pPr>
            <w:r w:rsidRPr="00520983">
              <w:rPr>
                <w:rStyle w:val="Accentuation"/>
                <w:sz w:val="22"/>
                <w:szCs w:val="22"/>
              </w:rPr>
              <w:t>Presse écrite</w:t>
            </w:r>
          </w:p>
        </w:tc>
        <w:tc>
          <w:tcPr>
            <w:tcW w:w="4291" w:type="dxa"/>
          </w:tcPr>
          <w:p w:rsidR="000B7079" w:rsidRPr="00520983" w:rsidRDefault="00011D3D" w:rsidP="00520983">
            <w:pPr>
              <w:jc w:val="both"/>
              <w:rPr>
                <w:rStyle w:val="Accentuation"/>
                <w:i w:val="0"/>
                <w:sz w:val="22"/>
                <w:szCs w:val="22"/>
              </w:rPr>
            </w:pPr>
            <w:r w:rsidRPr="00520983">
              <w:rPr>
                <w:rStyle w:val="Accentuation"/>
                <w:sz w:val="22"/>
                <w:szCs w:val="22"/>
              </w:rPr>
              <w:t>0</w:t>
            </w:r>
            <w:r w:rsidR="006B23D4" w:rsidRPr="00520983">
              <w:rPr>
                <w:rStyle w:val="Accentuation"/>
                <w:sz w:val="22"/>
                <w:szCs w:val="22"/>
              </w:rPr>
              <w:t>1</w:t>
            </w:r>
          </w:p>
        </w:tc>
      </w:tr>
      <w:tr w:rsidR="000B7079" w:rsidRPr="00520983" w:rsidTr="000F4C8D">
        <w:trPr>
          <w:trHeight w:val="272"/>
        </w:trPr>
        <w:tc>
          <w:tcPr>
            <w:tcW w:w="4606" w:type="dxa"/>
          </w:tcPr>
          <w:p w:rsidR="000B7079" w:rsidRPr="00520983" w:rsidRDefault="000B7079" w:rsidP="00520983">
            <w:pPr>
              <w:jc w:val="both"/>
              <w:rPr>
                <w:rStyle w:val="Accentuation"/>
                <w:i w:val="0"/>
                <w:sz w:val="22"/>
                <w:szCs w:val="22"/>
              </w:rPr>
            </w:pPr>
            <w:r w:rsidRPr="00520983">
              <w:rPr>
                <w:rStyle w:val="Accentuation"/>
                <w:sz w:val="22"/>
                <w:szCs w:val="22"/>
              </w:rPr>
              <w:t>Radio</w:t>
            </w:r>
          </w:p>
        </w:tc>
        <w:tc>
          <w:tcPr>
            <w:tcW w:w="4291" w:type="dxa"/>
          </w:tcPr>
          <w:p w:rsidR="000B7079" w:rsidRPr="00520983" w:rsidRDefault="00011D3D" w:rsidP="00520983">
            <w:pPr>
              <w:jc w:val="both"/>
              <w:rPr>
                <w:rStyle w:val="Accentuation"/>
                <w:i w:val="0"/>
                <w:sz w:val="22"/>
                <w:szCs w:val="22"/>
              </w:rPr>
            </w:pPr>
            <w:r w:rsidRPr="00520983">
              <w:rPr>
                <w:rStyle w:val="Accentuation"/>
                <w:sz w:val="22"/>
                <w:szCs w:val="22"/>
              </w:rPr>
              <w:t>0</w:t>
            </w:r>
            <w:r w:rsidR="006B23D4" w:rsidRPr="00520983">
              <w:rPr>
                <w:rStyle w:val="Accentuation"/>
                <w:sz w:val="22"/>
                <w:szCs w:val="22"/>
              </w:rPr>
              <w:t>3</w:t>
            </w:r>
          </w:p>
        </w:tc>
      </w:tr>
    </w:tbl>
    <w:p w:rsidR="00A73722" w:rsidRPr="00520983" w:rsidRDefault="00A73722" w:rsidP="00520983">
      <w:pPr>
        <w:jc w:val="both"/>
        <w:rPr>
          <w:rStyle w:val="Accentuation"/>
          <w:i w:val="0"/>
          <w:sz w:val="22"/>
          <w:szCs w:val="22"/>
        </w:rPr>
      </w:pPr>
    </w:p>
    <w:p w:rsidR="006B23D4" w:rsidRPr="00520983" w:rsidRDefault="006B23D4" w:rsidP="00520983">
      <w:pPr>
        <w:jc w:val="both"/>
        <w:rPr>
          <w:rStyle w:val="Accentuation"/>
          <w:i w:val="0"/>
          <w:sz w:val="22"/>
          <w:szCs w:val="22"/>
          <w:lang w:val="fr-BE"/>
        </w:rPr>
      </w:pPr>
      <w:r w:rsidRPr="00520983">
        <w:rPr>
          <w:rStyle w:val="Accentuation"/>
          <w:i w:val="0"/>
          <w:sz w:val="22"/>
          <w:szCs w:val="22"/>
          <w:lang w:val="fr-BE"/>
        </w:rPr>
        <w:t>Pour ce mois d’avril 2021, le projet a produit au total 18 pièces médiatiques, dont 12 ont été publiées sur internet, 3 à la radio et 2 à la télévision et 1 dans la presse écrite.</w:t>
      </w:r>
    </w:p>
    <w:p w:rsidR="00564F1D" w:rsidRPr="00520983" w:rsidRDefault="00564F1D" w:rsidP="00520983">
      <w:pPr>
        <w:spacing w:line="276" w:lineRule="auto"/>
        <w:jc w:val="both"/>
        <w:rPr>
          <w:rStyle w:val="Accentuation"/>
          <w:i w:val="0"/>
          <w:sz w:val="22"/>
          <w:szCs w:val="22"/>
          <w:lang w:val="fr-BE"/>
        </w:rPr>
      </w:pPr>
    </w:p>
    <w:p w:rsidR="00ED52D9" w:rsidRPr="00520983" w:rsidRDefault="00ED52D9" w:rsidP="00520983">
      <w:pPr>
        <w:spacing w:after="240" w:line="276" w:lineRule="auto"/>
        <w:jc w:val="both"/>
        <w:rPr>
          <w:rStyle w:val="Accentuation"/>
          <w:i w:val="0"/>
          <w:sz w:val="22"/>
          <w:szCs w:val="22"/>
          <w:lang w:val="fr-BE"/>
        </w:rPr>
      </w:pPr>
      <w:r w:rsidRPr="00520983">
        <w:rPr>
          <w:rStyle w:val="Accentuation"/>
          <w:i w:val="0"/>
          <w:sz w:val="22"/>
          <w:szCs w:val="22"/>
          <w:lang w:val="fr-BE"/>
        </w:rPr>
        <w:t>Les articles sont disponibles sur plusieurs médias et notamment sur le site Internet, la page Facebook et la chaine YouTube du projet.</w:t>
      </w:r>
    </w:p>
    <w:p w:rsidR="00ED52D9" w:rsidRPr="00520983" w:rsidRDefault="00ED52D9" w:rsidP="00520983">
      <w:pPr>
        <w:spacing w:line="276" w:lineRule="auto"/>
        <w:jc w:val="both"/>
        <w:rPr>
          <w:rStyle w:val="Accentuation"/>
          <w:i w:val="0"/>
          <w:sz w:val="22"/>
          <w:szCs w:val="22"/>
          <w:lang w:val="nl-BE"/>
        </w:rPr>
      </w:pPr>
      <w:r w:rsidRPr="00520983">
        <w:rPr>
          <w:rStyle w:val="Accentuation"/>
          <w:i w:val="0"/>
          <w:sz w:val="22"/>
          <w:szCs w:val="22"/>
          <w:lang w:val="nl-BE"/>
        </w:rPr>
        <w:t xml:space="preserve">Website: </w:t>
      </w:r>
      <w:hyperlink r:id="rId11" w:history="1">
        <w:r w:rsidRPr="00520983">
          <w:rPr>
            <w:rStyle w:val="Accentuation"/>
            <w:i w:val="0"/>
            <w:sz w:val="22"/>
            <w:szCs w:val="22"/>
            <w:lang w:val="nl-BE"/>
          </w:rPr>
          <w:t>http://www.conservation-justice.org/CJ/</w:t>
        </w:r>
      </w:hyperlink>
    </w:p>
    <w:p w:rsidR="00ED52D9" w:rsidRPr="00520983" w:rsidRDefault="00ED52D9" w:rsidP="00520983">
      <w:pPr>
        <w:spacing w:line="276" w:lineRule="auto"/>
        <w:jc w:val="both"/>
        <w:rPr>
          <w:rStyle w:val="Accentuation"/>
          <w:i w:val="0"/>
          <w:sz w:val="22"/>
          <w:szCs w:val="22"/>
          <w:lang w:val="nl-BE"/>
        </w:rPr>
      </w:pPr>
      <w:r w:rsidRPr="00520983">
        <w:rPr>
          <w:rStyle w:val="Accentuation"/>
          <w:i w:val="0"/>
          <w:sz w:val="22"/>
          <w:szCs w:val="22"/>
          <w:lang w:val="nl-BE"/>
        </w:rPr>
        <w:t>Facebook:</w:t>
      </w:r>
      <w:hyperlink r:id="rId12" w:history="1">
        <w:r w:rsidRPr="00520983">
          <w:rPr>
            <w:rStyle w:val="Lienhypertexte"/>
            <w:color w:val="auto"/>
            <w:sz w:val="22"/>
            <w:szCs w:val="22"/>
            <w:lang w:val="nl-BE"/>
          </w:rPr>
          <w:t>https://www.facebook.com/Conservation-Justice-163892326976793/</w:t>
        </w:r>
      </w:hyperlink>
    </w:p>
    <w:p w:rsidR="00ED52D9" w:rsidRPr="00520983" w:rsidRDefault="00ED52D9" w:rsidP="00520983">
      <w:pPr>
        <w:jc w:val="both"/>
        <w:rPr>
          <w:rStyle w:val="Accentuation"/>
          <w:sz w:val="22"/>
          <w:szCs w:val="22"/>
          <w:lang w:val="en-GB"/>
        </w:rPr>
      </w:pPr>
      <w:r w:rsidRPr="00520983">
        <w:rPr>
          <w:rStyle w:val="Accentuation"/>
          <w:i w:val="0"/>
          <w:sz w:val="22"/>
          <w:szCs w:val="22"/>
          <w:lang w:val="en-GB"/>
        </w:rPr>
        <w:t xml:space="preserve">YouTube: </w:t>
      </w:r>
      <w:hyperlink r:id="rId13" w:history="1">
        <w:r w:rsidRPr="00520983">
          <w:rPr>
            <w:rStyle w:val="Accentuation"/>
            <w:i w:val="0"/>
            <w:sz w:val="22"/>
            <w:szCs w:val="22"/>
            <w:lang w:val="en-GB"/>
          </w:rPr>
          <w:t>https://www.youtube.com/user/ConservationJustice</w:t>
        </w:r>
      </w:hyperlink>
    </w:p>
    <w:p w:rsidR="0095558B" w:rsidRPr="00520983" w:rsidRDefault="0095558B" w:rsidP="00520983">
      <w:pPr>
        <w:spacing w:line="276" w:lineRule="auto"/>
        <w:jc w:val="both"/>
        <w:rPr>
          <w:rStyle w:val="Accentuation"/>
          <w:i w:val="0"/>
          <w:sz w:val="22"/>
          <w:szCs w:val="22"/>
          <w:lang w:val="en-GB"/>
        </w:rPr>
      </w:pPr>
    </w:p>
    <w:p w:rsidR="00306FD5" w:rsidRPr="00520983" w:rsidRDefault="00306FD5" w:rsidP="00520983">
      <w:pPr>
        <w:pStyle w:val="Titre1"/>
        <w:shd w:val="clear" w:color="auto" w:fill="000000" w:themeFill="text1"/>
        <w:jc w:val="both"/>
        <w:rPr>
          <w:rStyle w:val="Accentuation"/>
          <w:sz w:val="22"/>
          <w:szCs w:val="22"/>
        </w:rPr>
      </w:pPr>
      <w:bookmarkStart w:id="6" w:name="_Toc330025956"/>
      <w:bookmarkStart w:id="7" w:name="_Toc7774931"/>
      <w:r w:rsidRPr="00520983">
        <w:rPr>
          <w:rStyle w:val="Accentuation"/>
          <w:sz w:val="22"/>
          <w:szCs w:val="22"/>
        </w:rPr>
        <w:t>Relations extérieures</w:t>
      </w:r>
      <w:bookmarkEnd w:id="6"/>
      <w:bookmarkEnd w:id="7"/>
    </w:p>
    <w:p w:rsidR="0066676C" w:rsidRPr="00520983" w:rsidRDefault="0066676C" w:rsidP="00520983">
      <w:pPr>
        <w:jc w:val="both"/>
        <w:rPr>
          <w:sz w:val="22"/>
          <w:szCs w:val="22"/>
          <w:lang w:val="fr-CH" w:bidi="he-IL"/>
        </w:rPr>
      </w:pPr>
    </w:p>
    <w:p w:rsidR="00306FD5" w:rsidRPr="00520983" w:rsidRDefault="00306FD5" w:rsidP="00520983">
      <w:pPr>
        <w:spacing w:after="240"/>
        <w:jc w:val="both"/>
        <w:rPr>
          <w:rStyle w:val="Accentuation"/>
          <w:b/>
          <w:i w:val="0"/>
          <w:sz w:val="22"/>
          <w:szCs w:val="22"/>
        </w:rPr>
      </w:pPr>
      <w:r w:rsidRPr="00520983">
        <w:rPr>
          <w:rStyle w:val="Accentuation"/>
          <w:b/>
          <w:sz w:val="22"/>
          <w:szCs w:val="22"/>
        </w:rPr>
        <w:t>Indicateur:</w:t>
      </w:r>
    </w:p>
    <w:tbl>
      <w:tblPr>
        <w:tblStyle w:val="Grilledetableauclaire1"/>
        <w:tblW w:w="0" w:type="auto"/>
        <w:tblLook w:val="04A0"/>
      </w:tblPr>
      <w:tblGrid>
        <w:gridCol w:w="4350"/>
        <w:gridCol w:w="4380"/>
      </w:tblGrid>
      <w:tr w:rsidR="00255C72" w:rsidRPr="00520983" w:rsidTr="000B5D2B">
        <w:trPr>
          <w:trHeight w:val="323"/>
        </w:trPr>
        <w:tc>
          <w:tcPr>
            <w:tcW w:w="4350" w:type="dxa"/>
          </w:tcPr>
          <w:p w:rsidR="00306FD5" w:rsidRPr="00520983" w:rsidRDefault="00306FD5" w:rsidP="00520983">
            <w:pPr>
              <w:jc w:val="both"/>
              <w:rPr>
                <w:rStyle w:val="Accentuation"/>
                <w:i w:val="0"/>
                <w:sz w:val="22"/>
                <w:szCs w:val="22"/>
              </w:rPr>
            </w:pPr>
            <w:r w:rsidRPr="00520983">
              <w:rPr>
                <w:rStyle w:val="Accentuation"/>
                <w:sz w:val="22"/>
                <w:szCs w:val="22"/>
              </w:rPr>
              <w:t>Nombre de rencontres</w:t>
            </w:r>
          </w:p>
        </w:tc>
        <w:tc>
          <w:tcPr>
            <w:tcW w:w="4380" w:type="dxa"/>
          </w:tcPr>
          <w:p w:rsidR="00306FD5" w:rsidRPr="00520983" w:rsidRDefault="004D085F" w:rsidP="00520983">
            <w:pPr>
              <w:jc w:val="both"/>
              <w:rPr>
                <w:rStyle w:val="Accentuation"/>
                <w:i w:val="0"/>
                <w:sz w:val="22"/>
                <w:szCs w:val="22"/>
              </w:rPr>
            </w:pPr>
            <w:r w:rsidRPr="00520983">
              <w:rPr>
                <w:rStyle w:val="Accentuation"/>
                <w:i w:val="0"/>
                <w:sz w:val="22"/>
                <w:szCs w:val="22"/>
              </w:rPr>
              <w:t>42</w:t>
            </w:r>
          </w:p>
        </w:tc>
      </w:tr>
      <w:tr w:rsidR="00255C72" w:rsidRPr="00520983" w:rsidTr="000B5D2B">
        <w:trPr>
          <w:trHeight w:val="323"/>
        </w:trPr>
        <w:tc>
          <w:tcPr>
            <w:tcW w:w="4350" w:type="dxa"/>
          </w:tcPr>
          <w:p w:rsidR="00306FD5" w:rsidRPr="00520983" w:rsidRDefault="00306FD5" w:rsidP="00520983">
            <w:pPr>
              <w:jc w:val="both"/>
              <w:rPr>
                <w:rStyle w:val="Accentuation"/>
                <w:i w:val="0"/>
                <w:sz w:val="22"/>
                <w:szCs w:val="22"/>
              </w:rPr>
            </w:pPr>
            <w:r w:rsidRPr="00520983">
              <w:rPr>
                <w:rStyle w:val="Accentuation"/>
                <w:sz w:val="22"/>
                <w:szCs w:val="22"/>
              </w:rPr>
              <w:t>Suivi de l’accord de collaboration</w:t>
            </w:r>
            <w:r w:rsidRPr="00520983">
              <w:rPr>
                <w:rStyle w:val="Accentuation"/>
                <w:sz w:val="22"/>
                <w:szCs w:val="22"/>
              </w:rPr>
              <w:tab/>
            </w:r>
          </w:p>
        </w:tc>
        <w:tc>
          <w:tcPr>
            <w:tcW w:w="4380" w:type="dxa"/>
          </w:tcPr>
          <w:p w:rsidR="00306FD5" w:rsidRPr="00520983" w:rsidRDefault="004D085F" w:rsidP="00520983">
            <w:pPr>
              <w:jc w:val="both"/>
              <w:rPr>
                <w:rStyle w:val="Accentuation"/>
                <w:i w:val="0"/>
                <w:sz w:val="22"/>
                <w:szCs w:val="22"/>
              </w:rPr>
            </w:pPr>
            <w:r w:rsidRPr="00520983">
              <w:rPr>
                <w:rStyle w:val="Accentuation"/>
                <w:sz w:val="22"/>
                <w:szCs w:val="22"/>
              </w:rPr>
              <w:t>36</w:t>
            </w:r>
          </w:p>
        </w:tc>
      </w:tr>
      <w:tr w:rsidR="00306FD5" w:rsidRPr="00520983" w:rsidTr="000B5D2B">
        <w:trPr>
          <w:trHeight w:val="297"/>
        </w:trPr>
        <w:tc>
          <w:tcPr>
            <w:tcW w:w="4350" w:type="dxa"/>
            <w:vAlign w:val="center"/>
          </w:tcPr>
          <w:p w:rsidR="00306FD5" w:rsidRPr="00520983" w:rsidRDefault="00306FD5" w:rsidP="00520983">
            <w:pPr>
              <w:jc w:val="both"/>
              <w:rPr>
                <w:rStyle w:val="Accentuation"/>
                <w:i w:val="0"/>
                <w:sz w:val="22"/>
                <w:szCs w:val="22"/>
              </w:rPr>
            </w:pPr>
            <w:r w:rsidRPr="00520983">
              <w:rPr>
                <w:rStyle w:val="Accentuation"/>
                <w:sz w:val="22"/>
                <w:szCs w:val="22"/>
              </w:rPr>
              <w:t>Collaboration sur affaires</w:t>
            </w:r>
          </w:p>
        </w:tc>
        <w:tc>
          <w:tcPr>
            <w:tcW w:w="4380" w:type="dxa"/>
            <w:vAlign w:val="center"/>
          </w:tcPr>
          <w:p w:rsidR="00306FD5" w:rsidRPr="00520983" w:rsidRDefault="004D085F" w:rsidP="00520983">
            <w:pPr>
              <w:jc w:val="both"/>
              <w:rPr>
                <w:rStyle w:val="Accentuation"/>
                <w:i w:val="0"/>
                <w:sz w:val="22"/>
                <w:szCs w:val="22"/>
              </w:rPr>
            </w:pPr>
            <w:r w:rsidRPr="00520983">
              <w:rPr>
                <w:rStyle w:val="Accentuation"/>
                <w:sz w:val="22"/>
                <w:szCs w:val="22"/>
              </w:rPr>
              <w:t>06</w:t>
            </w:r>
          </w:p>
        </w:tc>
      </w:tr>
    </w:tbl>
    <w:p w:rsidR="00306FD5" w:rsidRPr="00520983" w:rsidRDefault="00306FD5" w:rsidP="00520983">
      <w:pPr>
        <w:spacing w:line="276" w:lineRule="auto"/>
        <w:jc w:val="both"/>
        <w:rPr>
          <w:rStyle w:val="Accentuation"/>
          <w:sz w:val="22"/>
          <w:szCs w:val="22"/>
          <w:lang w:val="fr-BE"/>
        </w:rPr>
      </w:pPr>
    </w:p>
    <w:p w:rsidR="004D085F" w:rsidRPr="00520983" w:rsidRDefault="004D085F" w:rsidP="00520983">
      <w:pPr>
        <w:jc w:val="both"/>
        <w:rPr>
          <w:sz w:val="22"/>
          <w:szCs w:val="22"/>
        </w:rPr>
      </w:pPr>
      <w:r w:rsidRPr="00520983">
        <w:rPr>
          <w:sz w:val="22"/>
          <w:szCs w:val="22"/>
        </w:rPr>
        <w:t xml:space="preserve">Plusieurs rencontres de renforcement de la collaboration et de suivi des cas et procédures ont eu lieu avec les autorités administratives et judiciaires dans les provinces de l’Estuaire, de la Nyanga, de l’Ogooué-Lolo et du Haut-Ogooué. </w:t>
      </w:r>
    </w:p>
    <w:p w:rsidR="004D085F" w:rsidRPr="00520983" w:rsidRDefault="004D085F" w:rsidP="00520983">
      <w:pPr>
        <w:jc w:val="both"/>
        <w:rPr>
          <w:sz w:val="22"/>
          <w:szCs w:val="22"/>
        </w:rPr>
      </w:pPr>
    </w:p>
    <w:p w:rsidR="004D085F" w:rsidRPr="00520983" w:rsidRDefault="004D085F" w:rsidP="00520983">
      <w:pPr>
        <w:jc w:val="both"/>
        <w:rPr>
          <w:sz w:val="22"/>
          <w:szCs w:val="22"/>
        </w:rPr>
      </w:pPr>
      <w:r w:rsidRPr="00520983">
        <w:rPr>
          <w:sz w:val="22"/>
          <w:szCs w:val="22"/>
        </w:rPr>
        <w:t xml:space="preserve">Le coordonnateur des activités et les juristes ont rencontré et discuté avec les Chefs d’antennes provinciales de la Police judiciaire, des Directeurs provinciaux des Eaux et Forêts, des Procureurs de la Républiques près les tribunaux de Libreville de Tchibanga, Koula-Moutou et Franceville ; </w:t>
      </w:r>
    </w:p>
    <w:p w:rsidR="004D085F" w:rsidRPr="00520983" w:rsidRDefault="004D085F" w:rsidP="00520983">
      <w:pPr>
        <w:jc w:val="both"/>
        <w:rPr>
          <w:sz w:val="22"/>
          <w:szCs w:val="22"/>
        </w:rPr>
      </w:pPr>
    </w:p>
    <w:p w:rsidR="004D085F" w:rsidRPr="00520983" w:rsidRDefault="004D085F" w:rsidP="00520983">
      <w:pPr>
        <w:jc w:val="both"/>
        <w:rPr>
          <w:sz w:val="22"/>
          <w:szCs w:val="22"/>
        </w:rPr>
      </w:pPr>
      <w:r w:rsidRPr="00520983">
        <w:rPr>
          <w:sz w:val="22"/>
          <w:szCs w:val="22"/>
        </w:rPr>
        <w:t>Le Directeur exécutif de Conservation Justice et le Coordonnateur des activités se sont entretenu</w:t>
      </w:r>
      <w:r w:rsidR="004376CF">
        <w:rPr>
          <w:sz w:val="22"/>
          <w:szCs w:val="22"/>
        </w:rPr>
        <w:t>s</w:t>
      </w:r>
      <w:r w:rsidRPr="00520983">
        <w:rPr>
          <w:sz w:val="22"/>
          <w:szCs w:val="22"/>
        </w:rPr>
        <w:t xml:space="preserve"> avec le commandant en chef de la police judiciaire, le Directeur général de la faune et des aires protégées outre le Procureur du Tribunal de première instance de Libreville ;</w:t>
      </w:r>
    </w:p>
    <w:p w:rsidR="004D085F" w:rsidRPr="00520983" w:rsidRDefault="004D085F" w:rsidP="00520983">
      <w:pPr>
        <w:jc w:val="both"/>
        <w:rPr>
          <w:sz w:val="22"/>
          <w:szCs w:val="22"/>
        </w:rPr>
      </w:pPr>
    </w:p>
    <w:p w:rsidR="004D085F" w:rsidRPr="00520983" w:rsidRDefault="004D085F" w:rsidP="00520983">
      <w:pPr>
        <w:jc w:val="both"/>
        <w:rPr>
          <w:sz w:val="22"/>
          <w:szCs w:val="22"/>
        </w:rPr>
      </w:pPr>
      <w:r w:rsidRPr="00520983">
        <w:rPr>
          <w:sz w:val="22"/>
          <w:szCs w:val="22"/>
        </w:rPr>
        <w:t>Le Coordonnateur des activités a rencontré et discuté avec le Commandant en charge des investigations à la direct</w:t>
      </w:r>
      <w:r w:rsidR="00E118A5">
        <w:rPr>
          <w:sz w:val="22"/>
          <w:szCs w:val="22"/>
        </w:rPr>
        <w:t>ion</w:t>
      </w:r>
      <w:r w:rsidRPr="00520983">
        <w:rPr>
          <w:sz w:val="22"/>
          <w:szCs w:val="22"/>
        </w:rPr>
        <w:t xml:space="preserve"> général des recherches (DGR) et Madame la présidente de la cour d’appel de Libreville. </w:t>
      </w:r>
    </w:p>
    <w:p w:rsidR="00357DAC" w:rsidRPr="00520983" w:rsidRDefault="00357DAC" w:rsidP="00520983">
      <w:pPr>
        <w:jc w:val="both"/>
        <w:rPr>
          <w:rStyle w:val="Accentuation"/>
          <w:i w:val="0"/>
          <w:iCs w:val="0"/>
          <w:sz w:val="22"/>
          <w:szCs w:val="22"/>
        </w:rPr>
      </w:pPr>
    </w:p>
    <w:p w:rsidR="00F72E0B" w:rsidRPr="00520983" w:rsidRDefault="00F72E0B" w:rsidP="00520983">
      <w:pPr>
        <w:jc w:val="both"/>
        <w:rPr>
          <w:sz w:val="22"/>
          <w:szCs w:val="22"/>
        </w:rPr>
      </w:pPr>
      <w:r w:rsidRPr="00520983">
        <w:rPr>
          <w:sz w:val="22"/>
          <w:szCs w:val="22"/>
        </w:rPr>
        <w:t xml:space="preserve">Au total, </w:t>
      </w:r>
      <w:r w:rsidR="00E118A5" w:rsidRPr="00520983">
        <w:rPr>
          <w:sz w:val="22"/>
          <w:szCs w:val="22"/>
        </w:rPr>
        <w:t>quarante</w:t>
      </w:r>
      <w:r w:rsidR="004376CF">
        <w:rPr>
          <w:sz w:val="22"/>
          <w:szCs w:val="22"/>
        </w:rPr>
        <w:t>-</w:t>
      </w:r>
      <w:r w:rsidR="004D085F" w:rsidRPr="00520983">
        <w:rPr>
          <w:sz w:val="22"/>
          <w:szCs w:val="22"/>
        </w:rPr>
        <w:t xml:space="preserve">deux </w:t>
      </w:r>
      <w:r w:rsidRPr="00520983">
        <w:rPr>
          <w:sz w:val="22"/>
          <w:szCs w:val="22"/>
        </w:rPr>
        <w:t>(</w:t>
      </w:r>
      <w:r w:rsidR="004D085F" w:rsidRPr="00520983">
        <w:rPr>
          <w:sz w:val="22"/>
          <w:szCs w:val="22"/>
        </w:rPr>
        <w:t>42</w:t>
      </w:r>
      <w:r w:rsidRPr="00520983">
        <w:rPr>
          <w:sz w:val="22"/>
          <w:szCs w:val="22"/>
        </w:rPr>
        <w:t>) rencontres avec différentes autorités administratives et judiciaires ont eu lieu.</w:t>
      </w:r>
    </w:p>
    <w:p w:rsidR="005370FF" w:rsidRPr="00520983" w:rsidRDefault="005370FF" w:rsidP="00520983">
      <w:pPr>
        <w:jc w:val="both"/>
        <w:rPr>
          <w:rStyle w:val="Accentuation"/>
          <w:i w:val="0"/>
          <w:sz w:val="22"/>
          <w:szCs w:val="22"/>
        </w:rPr>
      </w:pPr>
    </w:p>
    <w:p w:rsidR="00A73722" w:rsidRPr="00520983" w:rsidRDefault="000B7079" w:rsidP="00520983">
      <w:pPr>
        <w:pStyle w:val="Titre1"/>
        <w:shd w:val="clear" w:color="auto" w:fill="000000" w:themeFill="text1"/>
        <w:jc w:val="both"/>
        <w:rPr>
          <w:rStyle w:val="Accentuation"/>
          <w:sz w:val="22"/>
          <w:szCs w:val="22"/>
        </w:rPr>
      </w:pPr>
      <w:bookmarkStart w:id="8" w:name="_Toc7774932"/>
      <w:r w:rsidRPr="00520983">
        <w:rPr>
          <w:rStyle w:val="Accentuation"/>
          <w:sz w:val="22"/>
          <w:szCs w:val="22"/>
        </w:rPr>
        <w:t>Conclusion</w:t>
      </w:r>
      <w:bookmarkEnd w:id="8"/>
    </w:p>
    <w:p w:rsidR="004676FF" w:rsidRPr="00520983" w:rsidRDefault="004676FF" w:rsidP="00520983">
      <w:pPr>
        <w:jc w:val="both"/>
        <w:rPr>
          <w:sz w:val="22"/>
          <w:szCs w:val="22"/>
        </w:rPr>
      </w:pPr>
    </w:p>
    <w:p w:rsidR="005A567F" w:rsidRPr="00520983" w:rsidRDefault="005A567F" w:rsidP="00520983">
      <w:pPr>
        <w:jc w:val="both"/>
        <w:rPr>
          <w:sz w:val="22"/>
          <w:szCs w:val="22"/>
        </w:rPr>
      </w:pPr>
      <w:r w:rsidRPr="00520983">
        <w:rPr>
          <w:sz w:val="22"/>
          <w:szCs w:val="22"/>
        </w:rPr>
        <w:t>En somme le mois d’avril n’a pas été productif en termes d’opération malgré les informations recueillies sur le terrain. Toutefois les investigateurs continuent de maintenir le contact avec les cibles potentielles pour les prochaines éventuelles opérations.</w:t>
      </w:r>
    </w:p>
    <w:p w:rsidR="00E118A5" w:rsidRDefault="00E118A5" w:rsidP="00520983">
      <w:pPr>
        <w:jc w:val="both"/>
        <w:rPr>
          <w:rStyle w:val="Accentuation"/>
          <w:i w:val="0"/>
          <w:sz w:val="22"/>
          <w:szCs w:val="22"/>
          <w:lang w:val="fr-BE"/>
        </w:rPr>
      </w:pPr>
    </w:p>
    <w:p w:rsidR="00221B92" w:rsidRPr="00520983" w:rsidRDefault="005A567F" w:rsidP="00520983">
      <w:pPr>
        <w:jc w:val="both"/>
        <w:rPr>
          <w:sz w:val="22"/>
          <w:szCs w:val="22"/>
        </w:rPr>
      </w:pPr>
      <w:r w:rsidRPr="00520983">
        <w:rPr>
          <w:rStyle w:val="Accentuation"/>
          <w:i w:val="0"/>
          <w:sz w:val="22"/>
          <w:szCs w:val="22"/>
          <w:lang w:val="fr-BE"/>
        </w:rPr>
        <w:t>Les juristes ont suivi plusieurs affaires initiées par le projet</w:t>
      </w:r>
      <w:r w:rsidR="00E118A5">
        <w:rPr>
          <w:rStyle w:val="Accentuation"/>
          <w:i w:val="0"/>
          <w:sz w:val="22"/>
          <w:szCs w:val="22"/>
          <w:lang w:val="fr-BE"/>
        </w:rPr>
        <w:t xml:space="preserve"> et les forces de l’ordreen plus des</w:t>
      </w:r>
      <w:r w:rsidRPr="00520983">
        <w:rPr>
          <w:rStyle w:val="Accentuation"/>
          <w:i w:val="0"/>
          <w:sz w:val="22"/>
          <w:szCs w:val="22"/>
          <w:lang w:val="fr-BE"/>
        </w:rPr>
        <w:t xml:space="preserve"> visites de prisons aussi bien </w:t>
      </w:r>
      <w:r w:rsidR="00221B92" w:rsidRPr="00520983">
        <w:rPr>
          <w:sz w:val="22"/>
          <w:szCs w:val="22"/>
        </w:rPr>
        <w:t xml:space="preserve">des audiences de délibéré que de plaidoirie pour la province de l’Estuaire. </w:t>
      </w:r>
    </w:p>
    <w:p w:rsidR="00221B92" w:rsidRPr="00520983" w:rsidRDefault="00221B92" w:rsidP="00520983">
      <w:pPr>
        <w:jc w:val="both"/>
        <w:rPr>
          <w:sz w:val="22"/>
          <w:szCs w:val="22"/>
        </w:rPr>
      </w:pPr>
    </w:p>
    <w:p w:rsidR="005A567F" w:rsidRPr="00520983" w:rsidRDefault="00221B92" w:rsidP="00520983">
      <w:pPr>
        <w:jc w:val="both"/>
        <w:rPr>
          <w:iCs/>
          <w:sz w:val="22"/>
          <w:szCs w:val="22"/>
          <w:lang w:val="fr-BE"/>
        </w:rPr>
      </w:pPr>
      <w:r w:rsidRPr="00520983">
        <w:rPr>
          <w:sz w:val="22"/>
          <w:szCs w:val="22"/>
        </w:rPr>
        <w:t>Le Directeur exécutif et le Coordo</w:t>
      </w:r>
      <w:r w:rsidR="004376CF">
        <w:rPr>
          <w:sz w:val="22"/>
          <w:szCs w:val="22"/>
        </w:rPr>
        <w:t>n</w:t>
      </w:r>
      <w:r w:rsidRPr="00520983">
        <w:rPr>
          <w:sz w:val="22"/>
          <w:szCs w:val="22"/>
        </w:rPr>
        <w:t xml:space="preserve">nateur des activités ont effectué </w:t>
      </w:r>
      <w:r w:rsidR="005A567F" w:rsidRPr="00520983">
        <w:rPr>
          <w:rStyle w:val="Accentuation"/>
          <w:i w:val="0"/>
          <w:sz w:val="22"/>
          <w:szCs w:val="22"/>
          <w:lang w:val="fr-BE"/>
        </w:rPr>
        <w:t>des nombreuses rencontres de renforcement de la collaboration avec les autorités administratives et judicaires outre la planification de l’atelier de renforcement des capacités des officiers et agents de police judiciaire de la province de l’Estuaire, prévue se dérouler le 20 et 21 mais à Libreville.</w:t>
      </w:r>
    </w:p>
    <w:p w:rsidR="00600B7D" w:rsidRPr="00520983" w:rsidRDefault="00600B7D" w:rsidP="00A73722">
      <w:pPr>
        <w:spacing w:after="240" w:line="276" w:lineRule="auto"/>
        <w:jc w:val="both"/>
        <w:rPr>
          <w:rFonts w:asciiTheme="minorHAnsi" w:hAnsiTheme="minorHAnsi" w:cstheme="minorHAnsi"/>
          <w:b/>
          <w:sz w:val="22"/>
          <w:szCs w:val="22"/>
          <w:lang w:val="fr-BE"/>
        </w:rPr>
      </w:pPr>
    </w:p>
    <w:sectPr w:rsidR="00600B7D" w:rsidRPr="00520983"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B17" w:rsidRDefault="00C31B17" w:rsidP="00BE7B64">
      <w:r>
        <w:separator/>
      </w:r>
    </w:p>
  </w:endnote>
  <w:endnote w:type="continuationSeparator" w:id="1">
    <w:p w:rsidR="00C31B17" w:rsidRDefault="00C31B17"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B17" w:rsidRDefault="00C31B17" w:rsidP="00BE7B64">
      <w:r>
        <w:separator/>
      </w:r>
    </w:p>
  </w:footnote>
  <w:footnote w:type="continuationSeparator" w:id="1">
    <w:p w:rsidR="00C31B17" w:rsidRDefault="00C31B17"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E4DB8"/>
    <w:multiLevelType w:val="hybridMultilevel"/>
    <w:tmpl w:val="7DB4C9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5011B60"/>
    <w:multiLevelType w:val="hybridMultilevel"/>
    <w:tmpl w:val="8C94B66E"/>
    <w:lvl w:ilvl="0" w:tplc="D7628B1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F948BF"/>
    <w:multiLevelType w:val="hybridMultilevel"/>
    <w:tmpl w:val="05D61F76"/>
    <w:lvl w:ilvl="0" w:tplc="37E47F5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22"/>
  </w:num>
  <w:num w:numId="5">
    <w:abstractNumId w:val="0"/>
  </w:num>
  <w:num w:numId="6">
    <w:abstractNumId w:val="6"/>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5"/>
  </w:num>
  <w:num w:numId="16">
    <w:abstractNumId w:val="19"/>
  </w:num>
  <w:num w:numId="17">
    <w:abstractNumId w:val="18"/>
  </w:num>
  <w:num w:numId="18">
    <w:abstractNumId w:val="15"/>
  </w:num>
  <w:num w:numId="19">
    <w:abstractNumId w:val="4"/>
  </w:num>
  <w:num w:numId="20">
    <w:abstractNumId w:val="21"/>
  </w:num>
  <w:num w:numId="21">
    <w:abstractNumId w:val="20"/>
  </w:num>
  <w:num w:numId="22">
    <w:abstractNumId w:val="16"/>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0F6A"/>
    <w:rsid w:val="000060D0"/>
    <w:rsid w:val="00011D3D"/>
    <w:rsid w:val="00017314"/>
    <w:rsid w:val="000204A3"/>
    <w:rsid w:val="00027602"/>
    <w:rsid w:val="00027D7E"/>
    <w:rsid w:val="00036A7A"/>
    <w:rsid w:val="00041B60"/>
    <w:rsid w:val="000479FD"/>
    <w:rsid w:val="00055C1C"/>
    <w:rsid w:val="00064D42"/>
    <w:rsid w:val="00066400"/>
    <w:rsid w:val="000740A3"/>
    <w:rsid w:val="0007711E"/>
    <w:rsid w:val="00092963"/>
    <w:rsid w:val="000A192C"/>
    <w:rsid w:val="000B7079"/>
    <w:rsid w:val="000C1C78"/>
    <w:rsid w:val="000C5488"/>
    <w:rsid w:val="000C6609"/>
    <w:rsid w:val="000C6C16"/>
    <w:rsid w:val="000D1B71"/>
    <w:rsid w:val="000E2E5B"/>
    <w:rsid w:val="000E3F54"/>
    <w:rsid w:val="000F34FD"/>
    <w:rsid w:val="000F4C8D"/>
    <w:rsid w:val="000F5605"/>
    <w:rsid w:val="000F606B"/>
    <w:rsid w:val="000F7A74"/>
    <w:rsid w:val="00104DBF"/>
    <w:rsid w:val="00121E95"/>
    <w:rsid w:val="001277C3"/>
    <w:rsid w:val="00141AC9"/>
    <w:rsid w:val="0014652F"/>
    <w:rsid w:val="00147D55"/>
    <w:rsid w:val="001561B7"/>
    <w:rsid w:val="00156EE8"/>
    <w:rsid w:val="0017006B"/>
    <w:rsid w:val="00171351"/>
    <w:rsid w:val="00172C70"/>
    <w:rsid w:val="0017506C"/>
    <w:rsid w:val="00180BC4"/>
    <w:rsid w:val="00184F2B"/>
    <w:rsid w:val="001C0E29"/>
    <w:rsid w:val="001C0FE1"/>
    <w:rsid w:val="001C1B7E"/>
    <w:rsid w:val="001C71AE"/>
    <w:rsid w:val="001C7E2A"/>
    <w:rsid w:val="001C7F24"/>
    <w:rsid w:val="001D3199"/>
    <w:rsid w:val="001D4336"/>
    <w:rsid w:val="001D6915"/>
    <w:rsid w:val="001D7858"/>
    <w:rsid w:val="001E0712"/>
    <w:rsid w:val="001E54F4"/>
    <w:rsid w:val="001F18DF"/>
    <w:rsid w:val="001F78C4"/>
    <w:rsid w:val="001F7CE9"/>
    <w:rsid w:val="001F7E56"/>
    <w:rsid w:val="00207CE9"/>
    <w:rsid w:val="00211423"/>
    <w:rsid w:val="00213BF3"/>
    <w:rsid w:val="00215821"/>
    <w:rsid w:val="00215B83"/>
    <w:rsid w:val="00221B92"/>
    <w:rsid w:val="002237B6"/>
    <w:rsid w:val="00227AF5"/>
    <w:rsid w:val="00231D99"/>
    <w:rsid w:val="002428D2"/>
    <w:rsid w:val="00242D24"/>
    <w:rsid w:val="00244986"/>
    <w:rsid w:val="00255C72"/>
    <w:rsid w:val="002667F5"/>
    <w:rsid w:val="00275028"/>
    <w:rsid w:val="0027699F"/>
    <w:rsid w:val="00281C3C"/>
    <w:rsid w:val="00295C1F"/>
    <w:rsid w:val="00296889"/>
    <w:rsid w:val="002A253A"/>
    <w:rsid w:val="002A2E94"/>
    <w:rsid w:val="002A38F6"/>
    <w:rsid w:val="002A4C17"/>
    <w:rsid w:val="002A6F06"/>
    <w:rsid w:val="002B16EF"/>
    <w:rsid w:val="002B207B"/>
    <w:rsid w:val="002C369A"/>
    <w:rsid w:val="002C5BA7"/>
    <w:rsid w:val="002E5405"/>
    <w:rsid w:val="002F186A"/>
    <w:rsid w:val="002F3B51"/>
    <w:rsid w:val="002F5D1B"/>
    <w:rsid w:val="002F7002"/>
    <w:rsid w:val="00302170"/>
    <w:rsid w:val="0030235C"/>
    <w:rsid w:val="00303856"/>
    <w:rsid w:val="00306FD5"/>
    <w:rsid w:val="00307B53"/>
    <w:rsid w:val="003127B8"/>
    <w:rsid w:val="00315F65"/>
    <w:rsid w:val="00316BDB"/>
    <w:rsid w:val="00327999"/>
    <w:rsid w:val="00337846"/>
    <w:rsid w:val="00337BCE"/>
    <w:rsid w:val="0034260F"/>
    <w:rsid w:val="003528CC"/>
    <w:rsid w:val="0035316B"/>
    <w:rsid w:val="0035556D"/>
    <w:rsid w:val="00357DAC"/>
    <w:rsid w:val="003613A3"/>
    <w:rsid w:val="003617C7"/>
    <w:rsid w:val="00364CFD"/>
    <w:rsid w:val="00370B3C"/>
    <w:rsid w:val="003735D9"/>
    <w:rsid w:val="00377074"/>
    <w:rsid w:val="00383814"/>
    <w:rsid w:val="00383A57"/>
    <w:rsid w:val="003860C9"/>
    <w:rsid w:val="00397671"/>
    <w:rsid w:val="003A54A7"/>
    <w:rsid w:val="003A5AF5"/>
    <w:rsid w:val="003B71D1"/>
    <w:rsid w:val="003C7F0D"/>
    <w:rsid w:val="003D5908"/>
    <w:rsid w:val="003E06A7"/>
    <w:rsid w:val="003F1FD9"/>
    <w:rsid w:val="003F45AA"/>
    <w:rsid w:val="00400C84"/>
    <w:rsid w:val="004057AE"/>
    <w:rsid w:val="00405D2D"/>
    <w:rsid w:val="004238F6"/>
    <w:rsid w:val="00434C0C"/>
    <w:rsid w:val="004376CF"/>
    <w:rsid w:val="00446DCC"/>
    <w:rsid w:val="004564E1"/>
    <w:rsid w:val="004572DD"/>
    <w:rsid w:val="004645A5"/>
    <w:rsid w:val="004676FF"/>
    <w:rsid w:val="00467EC0"/>
    <w:rsid w:val="004705F9"/>
    <w:rsid w:val="004729CF"/>
    <w:rsid w:val="00472BF4"/>
    <w:rsid w:val="00473EE5"/>
    <w:rsid w:val="00485C4D"/>
    <w:rsid w:val="004915E7"/>
    <w:rsid w:val="004922E6"/>
    <w:rsid w:val="00492FBD"/>
    <w:rsid w:val="0049357B"/>
    <w:rsid w:val="00494ABD"/>
    <w:rsid w:val="004960F9"/>
    <w:rsid w:val="004A0A7F"/>
    <w:rsid w:val="004A116C"/>
    <w:rsid w:val="004A4554"/>
    <w:rsid w:val="004A6140"/>
    <w:rsid w:val="004B16CD"/>
    <w:rsid w:val="004B4102"/>
    <w:rsid w:val="004B72D4"/>
    <w:rsid w:val="004C09B5"/>
    <w:rsid w:val="004C2C0C"/>
    <w:rsid w:val="004C4A77"/>
    <w:rsid w:val="004C671D"/>
    <w:rsid w:val="004D085F"/>
    <w:rsid w:val="004D497E"/>
    <w:rsid w:val="004D4F8C"/>
    <w:rsid w:val="004D569E"/>
    <w:rsid w:val="004D7301"/>
    <w:rsid w:val="004E471D"/>
    <w:rsid w:val="004E4F4D"/>
    <w:rsid w:val="004E6157"/>
    <w:rsid w:val="004F1779"/>
    <w:rsid w:val="004F6A3B"/>
    <w:rsid w:val="005067CB"/>
    <w:rsid w:val="00511E73"/>
    <w:rsid w:val="00517ABF"/>
    <w:rsid w:val="00517CD7"/>
    <w:rsid w:val="00520983"/>
    <w:rsid w:val="00522932"/>
    <w:rsid w:val="00525E53"/>
    <w:rsid w:val="00535B95"/>
    <w:rsid w:val="005370FF"/>
    <w:rsid w:val="005464D6"/>
    <w:rsid w:val="00550AC9"/>
    <w:rsid w:val="005530E0"/>
    <w:rsid w:val="0055334C"/>
    <w:rsid w:val="005568EA"/>
    <w:rsid w:val="00564F1D"/>
    <w:rsid w:val="0057067E"/>
    <w:rsid w:val="00572C73"/>
    <w:rsid w:val="00582AD5"/>
    <w:rsid w:val="00592412"/>
    <w:rsid w:val="0059364C"/>
    <w:rsid w:val="00594AF2"/>
    <w:rsid w:val="00596471"/>
    <w:rsid w:val="00596D7F"/>
    <w:rsid w:val="005A2AF2"/>
    <w:rsid w:val="005A567F"/>
    <w:rsid w:val="005A7F47"/>
    <w:rsid w:val="005B2FF7"/>
    <w:rsid w:val="005C4872"/>
    <w:rsid w:val="005C49D0"/>
    <w:rsid w:val="005C5237"/>
    <w:rsid w:val="005C53DE"/>
    <w:rsid w:val="005C5E21"/>
    <w:rsid w:val="005D756A"/>
    <w:rsid w:val="005E49D2"/>
    <w:rsid w:val="005E5D6D"/>
    <w:rsid w:val="005E6030"/>
    <w:rsid w:val="005E6B30"/>
    <w:rsid w:val="005F3DD5"/>
    <w:rsid w:val="00600B7D"/>
    <w:rsid w:val="00604047"/>
    <w:rsid w:val="0060521D"/>
    <w:rsid w:val="00607DFB"/>
    <w:rsid w:val="00612817"/>
    <w:rsid w:val="006225A8"/>
    <w:rsid w:val="00626FD8"/>
    <w:rsid w:val="00632BAA"/>
    <w:rsid w:val="00633329"/>
    <w:rsid w:val="00635824"/>
    <w:rsid w:val="00641E98"/>
    <w:rsid w:val="00642C48"/>
    <w:rsid w:val="00644322"/>
    <w:rsid w:val="0064701D"/>
    <w:rsid w:val="00650C84"/>
    <w:rsid w:val="006543C2"/>
    <w:rsid w:val="00664C88"/>
    <w:rsid w:val="00664F8D"/>
    <w:rsid w:val="0066676C"/>
    <w:rsid w:val="00667C1B"/>
    <w:rsid w:val="00671B32"/>
    <w:rsid w:val="0067238C"/>
    <w:rsid w:val="006756DC"/>
    <w:rsid w:val="0068221D"/>
    <w:rsid w:val="006828DC"/>
    <w:rsid w:val="0068650F"/>
    <w:rsid w:val="00691DDC"/>
    <w:rsid w:val="006928C1"/>
    <w:rsid w:val="006B23D4"/>
    <w:rsid w:val="006C1BA1"/>
    <w:rsid w:val="006C3C8B"/>
    <w:rsid w:val="006C3F54"/>
    <w:rsid w:val="006C79BA"/>
    <w:rsid w:val="006D3C4F"/>
    <w:rsid w:val="006E3FB4"/>
    <w:rsid w:val="006F14B9"/>
    <w:rsid w:val="006F3D5E"/>
    <w:rsid w:val="006F3D93"/>
    <w:rsid w:val="00701C5F"/>
    <w:rsid w:val="00705636"/>
    <w:rsid w:val="00706DEE"/>
    <w:rsid w:val="007146C2"/>
    <w:rsid w:val="00714E94"/>
    <w:rsid w:val="00721DDC"/>
    <w:rsid w:val="00724918"/>
    <w:rsid w:val="007324CA"/>
    <w:rsid w:val="007331CF"/>
    <w:rsid w:val="00733E47"/>
    <w:rsid w:val="00734C4D"/>
    <w:rsid w:val="0074033D"/>
    <w:rsid w:val="00741202"/>
    <w:rsid w:val="0074663C"/>
    <w:rsid w:val="007510DA"/>
    <w:rsid w:val="00752683"/>
    <w:rsid w:val="00761A29"/>
    <w:rsid w:val="00766559"/>
    <w:rsid w:val="00776332"/>
    <w:rsid w:val="00782EA3"/>
    <w:rsid w:val="00796E10"/>
    <w:rsid w:val="007A53F7"/>
    <w:rsid w:val="007B0270"/>
    <w:rsid w:val="007B2213"/>
    <w:rsid w:val="007B4BE6"/>
    <w:rsid w:val="007B62A8"/>
    <w:rsid w:val="007C4C70"/>
    <w:rsid w:val="007E5DCC"/>
    <w:rsid w:val="007F47A5"/>
    <w:rsid w:val="007F5CCD"/>
    <w:rsid w:val="00803446"/>
    <w:rsid w:val="00805115"/>
    <w:rsid w:val="00805F06"/>
    <w:rsid w:val="00813961"/>
    <w:rsid w:val="00815166"/>
    <w:rsid w:val="008169FA"/>
    <w:rsid w:val="00817EED"/>
    <w:rsid w:val="0082165E"/>
    <w:rsid w:val="008342CE"/>
    <w:rsid w:val="0083560D"/>
    <w:rsid w:val="0084013A"/>
    <w:rsid w:val="00843603"/>
    <w:rsid w:val="00845D9D"/>
    <w:rsid w:val="00855E3D"/>
    <w:rsid w:val="00862594"/>
    <w:rsid w:val="00863178"/>
    <w:rsid w:val="00863C6C"/>
    <w:rsid w:val="0086747F"/>
    <w:rsid w:val="0086799F"/>
    <w:rsid w:val="008740CD"/>
    <w:rsid w:val="00874C07"/>
    <w:rsid w:val="00874CA6"/>
    <w:rsid w:val="00875F70"/>
    <w:rsid w:val="00877CAE"/>
    <w:rsid w:val="00877E09"/>
    <w:rsid w:val="00890961"/>
    <w:rsid w:val="00891A7B"/>
    <w:rsid w:val="00893459"/>
    <w:rsid w:val="008966A2"/>
    <w:rsid w:val="008B0B96"/>
    <w:rsid w:val="008B2280"/>
    <w:rsid w:val="008B3B2A"/>
    <w:rsid w:val="008B7865"/>
    <w:rsid w:val="008B797E"/>
    <w:rsid w:val="008C0B6C"/>
    <w:rsid w:val="008C1D86"/>
    <w:rsid w:val="008C7CD5"/>
    <w:rsid w:val="008D276B"/>
    <w:rsid w:val="008D3BCC"/>
    <w:rsid w:val="008D53B2"/>
    <w:rsid w:val="008D7761"/>
    <w:rsid w:val="008E659F"/>
    <w:rsid w:val="008E76A8"/>
    <w:rsid w:val="0090204E"/>
    <w:rsid w:val="0090671C"/>
    <w:rsid w:val="009110EF"/>
    <w:rsid w:val="0091148C"/>
    <w:rsid w:val="00914D96"/>
    <w:rsid w:val="009216E9"/>
    <w:rsid w:val="009225F7"/>
    <w:rsid w:val="00924C70"/>
    <w:rsid w:val="009258E0"/>
    <w:rsid w:val="009270B8"/>
    <w:rsid w:val="009311F4"/>
    <w:rsid w:val="009411D6"/>
    <w:rsid w:val="0095558B"/>
    <w:rsid w:val="00957328"/>
    <w:rsid w:val="00965735"/>
    <w:rsid w:val="009745A8"/>
    <w:rsid w:val="00976717"/>
    <w:rsid w:val="00976E24"/>
    <w:rsid w:val="00983162"/>
    <w:rsid w:val="0098790B"/>
    <w:rsid w:val="00990861"/>
    <w:rsid w:val="0099201D"/>
    <w:rsid w:val="009961B5"/>
    <w:rsid w:val="009A3358"/>
    <w:rsid w:val="009A3565"/>
    <w:rsid w:val="009A3ECC"/>
    <w:rsid w:val="009A691C"/>
    <w:rsid w:val="009A6DB3"/>
    <w:rsid w:val="009B0A9A"/>
    <w:rsid w:val="009B30B2"/>
    <w:rsid w:val="009B3C3D"/>
    <w:rsid w:val="009B4CE4"/>
    <w:rsid w:val="009D07C3"/>
    <w:rsid w:val="009D3E0C"/>
    <w:rsid w:val="009D469C"/>
    <w:rsid w:val="009D5742"/>
    <w:rsid w:val="009E066B"/>
    <w:rsid w:val="009E60B4"/>
    <w:rsid w:val="009F5BD1"/>
    <w:rsid w:val="00A026DA"/>
    <w:rsid w:val="00A02BC9"/>
    <w:rsid w:val="00A04C16"/>
    <w:rsid w:val="00A10C0C"/>
    <w:rsid w:val="00A12D10"/>
    <w:rsid w:val="00A212C6"/>
    <w:rsid w:val="00A214CD"/>
    <w:rsid w:val="00A219F3"/>
    <w:rsid w:val="00A21F4E"/>
    <w:rsid w:val="00A236D1"/>
    <w:rsid w:val="00A331FB"/>
    <w:rsid w:val="00A37199"/>
    <w:rsid w:val="00A407DE"/>
    <w:rsid w:val="00A424EB"/>
    <w:rsid w:val="00A42BA7"/>
    <w:rsid w:val="00A42EB5"/>
    <w:rsid w:val="00A434CB"/>
    <w:rsid w:val="00A43B40"/>
    <w:rsid w:val="00A45B11"/>
    <w:rsid w:val="00A4619B"/>
    <w:rsid w:val="00A472B2"/>
    <w:rsid w:val="00A515B3"/>
    <w:rsid w:val="00A5295F"/>
    <w:rsid w:val="00A57371"/>
    <w:rsid w:val="00A61D72"/>
    <w:rsid w:val="00A63DCF"/>
    <w:rsid w:val="00A6701A"/>
    <w:rsid w:val="00A6727D"/>
    <w:rsid w:val="00A7039A"/>
    <w:rsid w:val="00A73722"/>
    <w:rsid w:val="00A762D5"/>
    <w:rsid w:val="00A82C93"/>
    <w:rsid w:val="00A83799"/>
    <w:rsid w:val="00A83924"/>
    <w:rsid w:val="00A90F5D"/>
    <w:rsid w:val="00A9346D"/>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B01178"/>
    <w:rsid w:val="00B031B3"/>
    <w:rsid w:val="00B105FD"/>
    <w:rsid w:val="00B1152D"/>
    <w:rsid w:val="00B1299D"/>
    <w:rsid w:val="00B16408"/>
    <w:rsid w:val="00B342F9"/>
    <w:rsid w:val="00B34916"/>
    <w:rsid w:val="00B440FC"/>
    <w:rsid w:val="00B56F2A"/>
    <w:rsid w:val="00B62308"/>
    <w:rsid w:val="00B74B86"/>
    <w:rsid w:val="00B75728"/>
    <w:rsid w:val="00B80F78"/>
    <w:rsid w:val="00B8190B"/>
    <w:rsid w:val="00B86103"/>
    <w:rsid w:val="00B93BEC"/>
    <w:rsid w:val="00B96721"/>
    <w:rsid w:val="00BA62F8"/>
    <w:rsid w:val="00BB3128"/>
    <w:rsid w:val="00BC0DCB"/>
    <w:rsid w:val="00BC5513"/>
    <w:rsid w:val="00BC625B"/>
    <w:rsid w:val="00BC6D6D"/>
    <w:rsid w:val="00BD1773"/>
    <w:rsid w:val="00BD25A9"/>
    <w:rsid w:val="00BD51D2"/>
    <w:rsid w:val="00BD5BAB"/>
    <w:rsid w:val="00BD62C5"/>
    <w:rsid w:val="00BD7627"/>
    <w:rsid w:val="00BE04BF"/>
    <w:rsid w:val="00BE0A39"/>
    <w:rsid w:val="00BE0D34"/>
    <w:rsid w:val="00BE0FE8"/>
    <w:rsid w:val="00BE7B64"/>
    <w:rsid w:val="00BF3288"/>
    <w:rsid w:val="00BF3867"/>
    <w:rsid w:val="00C0158B"/>
    <w:rsid w:val="00C105F8"/>
    <w:rsid w:val="00C11C47"/>
    <w:rsid w:val="00C13BC6"/>
    <w:rsid w:val="00C1585B"/>
    <w:rsid w:val="00C239A6"/>
    <w:rsid w:val="00C30A8F"/>
    <w:rsid w:val="00C31B17"/>
    <w:rsid w:val="00C35526"/>
    <w:rsid w:val="00C3646E"/>
    <w:rsid w:val="00C4593F"/>
    <w:rsid w:val="00C45C2D"/>
    <w:rsid w:val="00C6289E"/>
    <w:rsid w:val="00C62C80"/>
    <w:rsid w:val="00C672FB"/>
    <w:rsid w:val="00C8123B"/>
    <w:rsid w:val="00CA3F97"/>
    <w:rsid w:val="00CA4278"/>
    <w:rsid w:val="00CB2E64"/>
    <w:rsid w:val="00CC1629"/>
    <w:rsid w:val="00CC2D91"/>
    <w:rsid w:val="00CC493E"/>
    <w:rsid w:val="00CC7210"/>
    <w:rsid w:val="00CD14E0"/>
    <w:rsid w:val="00CD2DFF"/>
    <w:rsid w:val="00CE15EC"/>
    <w:rsid w:val="00D01AF5"/>
    <w:rsid w:val="00D01D85"/>
    <w:rsid w:val="00D07AE5"/>
    <w:rsid w:val="00D23863"/>
    <w:rsid w:val="00D239B2"/>
    <w:rsid w:val="00D31E70"/>
    <w:rsid w:val="00D35838"/>
    <w:rsid w:val="00D45A28"/>
    <w:rsid w:val="00D51746"/>
    <w:rsid w:val="00D5593D"/>
    <w:rsid w:val="00D55AB6"/>
    <w:rsid w:val="00D56046"/>
    <w:rsid w:val="00D57757"/>
    <w:rsid w:val="00D72073"/>
    <w:rsid w:val="00D76C32"/>
    <w:rsid w:val="00D85408"/>
    <w:rsid w:val="00D908E4"/>
    <w:rsid w:val="00D93EF8"/>
    <w:rsid w:val="00DB4249"/>
    <w:rsid w:val="00DB6E98"/>
    <w:rsid w:val="00DB71AD"/>
    <w:rsid w:val="00DD0619"/>
    <w:rsid w:val="00DD16BD"/>
    <w:rsid w:val="00DD1F81"/>
    <w:rsid w:val="00DD2910"/>
    <w:rsid w:val="00DD5B78"/>
    <w:rsid w:val="00DD750A"/>
    <w:rsid w:val="00DF279D"/>
    <w:rsid w:val="00E05E57"/>
    <w:rsid w:val="00E1180C"/>
    <w:rsid w:val="00E118A5"/>
    <w:rsid w:val="00E12ADF"/>
    <w:rsid w:val="00E168EB"/>
    <w:rsid w:val="00E21883"/>
    <w:rsid w:val="00E22C32"/>
    <w:rsid w:val="00E327A7"/>
    <w:rsid w:val="00E33E0E"/>
    <w:rsid w:val="00E34AE5"/>
    <w:rsid w:val="00E34BF1"/>
    <w:rsid w:val="00E3772B"/>
    <w:rsid w:val="00E413CF"/>
    <w:rsid w:val="00E44DFD"/>
    <w:rsid w:val="00E44E66"/>
    <w:rsid w:val="00E47FA3"/>
    <w:rsid w:val="00E50642"/>
    <w:rsid w:val="00E61553"/>
    <w:rsid w:val="00E625BD"/>
    <w:rsid w:val="00E63737"/>
    <w:rsid w:val="00E641DA"/>
    <w:rsid w:val="00E9251D"/>
    <w:rsid w:val="00E95C09"/>
    <w:rsid w:val="00EA0B35"/>
    <w:rsid w:val="00EA5FAE"/>
    <w:rsid w:val="00EB56FB"/>
    <w:rsid w:val="00EB7C47"/>
    <w:rsid w:val="00EC070F"/>
    <w:rsid w:val="00ED17C9"/>
    <w:rsid w:val="00ED3735"/>
    <w:rsid w:val="00ED52D9"/>
    <w:rsid w:val="00EE0DDA"/>
    <w:rsid w:val="00EE40F4"/>
    <w:rsid w:val="00EE64A2"/>
    <w:rsid w:val="00EE7935"/>
    <w:rsid w:val="00EF35FA"/>
    <w:rsid w:val="00EF7C83"/>
    <w:rsid w:val="00F03DDD"/>
    <w:rsid w:val="00F13EFA"/>
    <w:rsid w:val="00F1532A"/>
    <w:rsid w:val="00F16216"/>
    <w:rsid w:val="00F22EB2"/>
    <w:rsid w:val="00F2421E"/>
    <w:rsid w:val="00F25AE1"/>
    <w:rsid w:val="00F41C0F"/>
    <w:rsid w:val="00F43C1C"/>
    <w:rsid w:val="00F47FA4"/>
    <w:rsid w:val="00F550E9"/>
    <w:rsid w:val="00F56A1F"/>
    <w:rsid w:val="00F6325D"/>
    <w:rsid w:val="00F72E0B"/>
    <w:rsid w:val="00F7401A"/>
    <w:rsid w:val="00F746CB"/>
    <w:rsid w:val="00F82775"/>
    <w:rsid w:val="00F83177"/>
    <w:rsid w:val="00F83964"/>
    <w:rsid w:val="00F86F07"/>
    <w:rsid w:val="00F97EC4"/>
    <w:rsid w:val="00FA2147"/>
    <w:rsid w:val="00FA6EC5"/>
    <w:rsid w:val="00FC2AD0"/>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632BAA"/>
    <w:rPr>
      <w:b/>
      <w:bCs/>
    </w:rPr>
  </w:style>
  <w:style w:type="character" w:customStyle="1" w:styleId="Mentionnonrsolue1">
    <w:name w:val="Mention non résolue1"/>
    <w:basedOn w:val="Policepardfaut"/>
    <w:uiPriority w:val="99"/>
    <w:semiHidden/>
    <w:unhideWhenUsed/>
    <w:rsid w:val="0095558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1685</Words>
  <Characters>9271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3</cp:revision>
  <dcterms:created xsi:type="dcterms:W3CDTF">2021-05-04T16:50:00Z</dcterms:created>
  <dcterms:modified xsi:type="dcterms:W3CDTF">2021-05-04T19:06:00Z</dcterms:modified>
</cp:coreProperties>
</file>