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06B365" w14:textId="77777777" w:rsidR="000B7079" w:rsidRDefault="000B7079" w:rsidP="000B7079">
      <w:pPr>
        <w:pStyle w:val="En-tte"/>
        <w:tabs>
          <w:tab w:val="left" w:pos="708"/>
        </w:tabs>
        <w:jc w:val="center"/>
        <w:rPr>
          <w:rStyle w:val="Accentuation"/>
          <w:rFonts w:ascii="Bookman Old Style" w:hAnsi="Bookman Old Style"/>
          <w:i w:val="0"/>
        </w:rPr>
      </w:pPr>
    </w:p>
    <w:p w14:paraId="391D0721" w14:textId="77777777" w:rsidR="00ED17C9" w:rsidRPr="009A7A98" w:rsidRDefault="00ED17C9" w:rsidP="000B7079">
      <w:pPr>
        <w:pStyle w:val="En-tte"/>
        <w:tabs>
          <w:tab w:val="left" w:pos="708"/>
        </w:tabs>
        <w:jc w:val="center"/>
        <w:rPr>
          <w:rStyle w:val="Accentuation"/>
          <w:rFonts w:ascii="Bookman Old Style" w:hAnsi="Bookman Old Style"/>
          <w:i w:val="0"/>
        </w:rPr>
      </w:pPr>
    </w:p>
    <w:tbl>
      <w:tblPr>
        <w:tblStyle w:val="Grilledutableau"/>
        <w:tblW w:w="9322" w:type="dxa"/>
        <w:tblBorders>
          <w:top w:val="none" w:sz="0" w:space="0" w:color="auto"/>
          <w:left w:val="none" w:sz="0" w:space="0" w:color="auto"/>
          <w:right w:val="none" w:sz="0" w:space="0" w:color="auto"/>
          <w:insideH w:val="none" w:sz="0" w:space="0" w:color="auto"/>
          <w:insideV w:val="none" w:sz="0" w:space="0" w:color="auto"/>
        </w:tblBorders>
        <w:shd w:val="clear" w:color="auto" w:fill="FFFFFF" w:themeFill="background1"/>
        <w:tblLayout w:type="fixed"/>
        <w:tblLook w:val="0480" w:firstRow="0" w:lastRow="0" w:firstColumn="1" w:lastColumn="0" w:noHBand="0" w:noVBand="1"/>
      </w:tblPr>
      <w:tblGrid>
        <w:gridCol w:w="1951"/>
        <w:gridCol w:w="1843"/>
        <w:gridCol w:w="1451"/>
        <w:gridCol w:w="2093"/>
        <w:gridCol w:w="1984"/>
      </w:tblGrid>
      <w:tr w:rsidR="000B7079" w:rsidRPr="009A7A98" w14:paraId="20984A71" w14:textId="77777777" w:rsidTr="000F4C8D">
        <w:trPr>
          <w:trHeight w:val="997"/>
        </w:trPr>
        <w:tc>
          <w:tcPr>
            <w:tcW w:w="1951" w:type="dxa"/>
            <w:hideMark/>
          </w:tcPr>
          <w:p w14:paraId="29A743DF" w14:textId="77777777" w:rsidR="000B7079" w:rsidRPr="009A7A98" w:rsidRDefault="000B7079" w:rsidP="000F4C8D">
            <w:pPr>
              <w:jc w:val="center"/>
              <w:rPr>
                <w:rStyle w:val="Accentuation"/>
                <w:rFonts w:ascii="Bookman Old Style" w:hAnsi="Bookman Old Style"/>
                <w:i w:val="0"/>
              </w:rPr>
            </w:pPr>
            <w:r w:rsidRPr="009A7A98">
              <w:rPr>
                <w:rStyle w:val="Accentuation"/>
                <w:rFonts w:ascii="Bookman Old Style" w:hAnsi="Bookman Old Style"/>
                <w:i w:val="0"/>
                <w:noProof/>
                <w:lang w:eastAsia="fr-FR"/>
              </w:rPr>
              <w:drawing>
                <wp:anchor distT="0" distB="0" distL="114300" distR="114300" simplePos="0" relativeHeight="251662336" behindDoc="0" locked="0" layoutInCell="1" allowOverlap="1" wp14:anchorId="6058ECE4" wp14:editId="4E84C191">
                  <wp:simplePos x="0" y="0"/>
                  <wp:positionH relativeFrom="column">
                    <wp:posOffset>62230</wp:posOffset>
                  </wp:positionH>
                  <wp:positionV relativeFrom="paragraph">
                    <wp:posOffset>-289560</wp:posOffset>
                  </wp:positionV>
                  <wp:extent cx="676275" cy="914400"/>
                  <wp:effectExtent l="19050" t="0" r="9525" b="0"/>
                  <wp:wrapNone/>
                  <wp:docPr id="6" name="Image 2" descr="Logo Ministère des Eaux et Forê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8" cstate="print"/>
                          <a:stretch>
                            <a:fillRect/>
                          </a:stretch>
                        </pic:blipFill>
                        <pic:spPr>
                          <a:xfrm>
                            <a:off x="0" y="0"/>
                            <a:ext cx="676275" cy="914400"/>
                          </a:xfrm>
                          <a:prstGeom prst="rect">
                            <a:avLst/>
                          </a:prstGeom>
                        </pic:spPr>
                      </pic:pic>
                    </a:graphicData>
                  </a:graphic>
                </wp:anchor>
              </w:drawing>
            </w:r>
            <w:r w:rsidRPr="009A7A98">
              <w:rPr>
                <w:rStyle w:val="Accentuation"/>
                <w:rFonts w:ascii="Bookman Old Style" w:hAnsi="Bookman Old Style"/>
                <w:i w:val="0"/>
                <w:noProof/>
                <w:lang w:eastAsia="fr-FR"/>
              </w:rPr>
              <w:drawing>
                <wp:anchor distT="0" distB="0" distL="114300" distR="114300" simplePos="0" relativeHeight="251661312" behindDoc="0" locked="0" layoutInCell="1" allowOverlap="1" wp14:anchorId="5602B03D" wp14:editId="403008D3">
                  <wp:simplePos x="0" y="0"/>
                  <wp:positionH relativeFrom="column">
                    <wp:posOffset>4977130</wp:posOffset>
                  </wp:positionH>
                  <wp:positionV relativeFrom="paragraph">
                    <wp:posOffset>-337185</wp:posOffset>
                  </wp:positionV>
                  <wp:extent cx="762000" cy="929005"/>
                  <wp:effectExtent l="19050" t="0" r="0" b="4445"/>
                  <wp:wrapNone/>
                  <wp:docPr id="8" name="Image 0" descr="Logo C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9" cstate="print"/>
                          <a:stretch>
                            <a:fillRect/>
                          </a:stretch>
                        </pic:blipFill>
                        <pic:spPr>
                          <a:xfrm>
                            <a:off x="0" y="0"/>
                            <a:ext cx="762000" cy="929005"/>
                          </a:xfrm>
                          <a:prstGeom prst="rect">
                            <a:avLst/>
                          </a:prstGeom>
                        </pic:spPr>
                      </pic:pic>
                    </a:graphicData>
                  </a:graphic>
                </wp:anchor>
              </w:drawing>
            </w:r>
          </w:p>
        </w:tc>
        <w:tc>
          <w:tcPr>
            <w:tcW w:w="5387" w:type="dxa"/>
            <w:gridSpan w:val="3"/>
            <w:vAlign w:val="bottom"/>
          </w:tcPr>
          <w:p w14:paraId="10E39569" w14:textId="77777777" w:rsidR="000B7079" w:rsidRPr="009A7A98" w:rsidRDefault="000B7079" w:rsidP="000F4C8D">
            <w:pPr>
              <w:jc w:val="center"/>
              <w:rPr>
                <w:rStyle w:val="Accentuation"/>
                <w:rFonts w:ascii="Bookman Old Style" w:hAnsi="Bookman Old Style"/>
                <w:i w:val="0"/>
              </w:rPr>
            </w:pPr>
            <w:r w:rsidRPr="009A7A98">
              <w:rPr>
                <w:rStyle w:val="Accentuation"/>
                <w:rFonts w:ascii="Bookman Old Style" w:hAnsi="Bookman Old Style"/>
              </w:rPr>
              <w:t>PROJET D’APPUI A L’APPLICATION DE LA LOI SUR LA FAUNE AU GABON (AALF)</w:t>
            </w:r>
          </w:p>
        </w:tc>
        <w:tc>
          <w:tcPr>
            <w:tcW w:w="1984" w:type="dxa"/>
            <w:hideMark/>
          </w:tcPr>
          <w:p w14:paraId="05E796FE" w14:textId="77777777" w:rsidR="000B7079" w:rsidRPr="009A7A98" w:rsidRDefault="000B7079" w:rsidP="000F4C8D">
            <w:pPr>
              <w:jc w:val="center"/>
              <w:rPr>
                <w:rStyle w:val="Accentuation"/>
                <w:rFonts w:ascii="Bookman Old Style" w:hAnsi="Bookman Old Style"/>
                <w:i w:val="0"/>
              </w:rPr>
            </w:pPr>
          </w:p>
        </w:tc>
      </w:tr>
      <w:tr w:rsidR="000B7079" w:rsidRPr="005F477B" w14:paraId="22591693" w14:textId="77777777" w:rsidTr="000F4C8D">
        <w:trPr>
          <w:trHeight w:val="1414"/>
        </w:trPr>
        <w:tc>
          <w:tcPr>
            <w:tcW w:w="3794" w:type="dxa"/>
            <w:gridSpan w:val="2"/>
          </w:tcPr>
          <w:p w14:paraId="0D6CA56C" w14:textId="77777777" w:rsidR="000B7079" w:rsidRPr="00E44DFD" w:rsidRDefault="000B7079" w:rsidP="000F4C8D">
            <w:pPr>
              <w:spacing w:before="240"/>
              <w:rPr>
                <w:rStyle w:val="Accentuation"/>
                <w:rFonts w:ascii="Bookman Old Style" w:hAnsi="Bookman Old Style"/>
                <w:i w:val="0"/>
                <w:sz w:val="22"/>
                <w:szCs w:val="22"/>
              </w:rPr>
            </w:pPr>
            <w:r w:rsidRPr="00E44DFD">
              <w:rPr>
                <w:rStyle w:val="Accentuation"/>
                <w:rFonts w:ascii="Bookman Old Style" w:hAnsi="Bookman Old Style"/>
                <w:sz w:val="22"/>
                <w:szCs w:val="22"/>
              </w:rPr>
              <w:t>REPUBLIQUE GABONAISE</w:t>
            </w:r>
          </w:p>
          <w:p w14:paraId="1C12E7F1" w14:textId="77777777" w:rsidR="000B7079" w:rsidRPr="00E44DFD" w:rsidRDefault="000B7079" w:rsidP="000F4C8D">
            <w:pPr>
              <w:rPr>
                <w:rStyle w:val="Accentuation"/>
                <w:rFonts w:ascii="Bookman Old Style" w:hAnsi="Bookman Old Style"/>
                <w:i w:val="0"/>
                <w:sz w:val="22"/>
                <w:szCs w:val="22"/>
              </w:rPr>
            </w:pPr>
            <w:r w:rsidRPr="00E44DFD">
              <w:rPr>
                <w:rStyle w:val="Accentuation"/>
                <w:rFonts w:ascii="Bookman Old Style" w:hAnsi="Bookman Old Style"/>
                <w:sz w:val="22"/>
                <w:szCs w:val="22"/>
              </w:rPr>
              <w:t>Ministère Des Eaux Et Forêts</w:t>
            </w:r>
          </w:p>
          <w:p w14:paraId="1C58DBE0" w14:textId="77777777" w:rsidR="000B7079" w:rsidRPr="00E44DFD" w:rsidRDefault="000B7079" w:rsidP="000F4C8D">
            <w:pPr>
              <w:rPr>
                <w:rStyle w:val="Accentuation"/>
                <w:rFonts w:ascii="Bookman Old Style" w:hAnsi="Bookman Old Style"/>
                <w:i w:val="0"/>
                <w:sz w:val="22"/>
                <w:szCs w:val="22"/>
              </w:rPr>
            </w:pPr>
          </w:p>
        </w:tc>
        <w:tc>
          <w:tcPr>
            <w:tcW w:w="1451" w:type="dxa"/>
          </w:tcPr>
          <w:p w14:paraId="17F7D341" w14:textId="77777777" w:rsidR="000B7079" w:rsidRPr="00E44DFD" w:rsidRDefault="000B7079" w:rsidP="000F4C8D">
            <w:pPr>
              <w:rPr>
                <w:rStyle w:val="Accentuation"/>
                <w:rFonts w:ascii="Bookman Old Style" w:hAnsi="Bookman Old Style"/>
                <w:i w:val="0"/>
                <w:sz w:val="22"/>
                <w:szCs w:val="22"/>
              </w:rPr>
            </w:pPr>
          </w:p>
        </w:tc>
        <w:tc>
          <w:tcPr>
            <w:tcW w:w="4077" w:type="dxa"/>
            <w:gridSpan w:val="2"/>
          </w:tcPr>
          <w:p w14:paraId="197024E8" w14:textId="77777777" w:rsidR="000B7079" w:rsidRPr="00E44DFD" w:rsidRDefault="000B7079" w:rsidP="000F4C8D">
            <w:pPr>
              <w:spacing w:before="240"/>
              <w:ind w:left="-215"/>
              <w:jc w:val="right"/>
              <w:rPr>
                <w:rStyle w:val="Accentuation"/>
                <w:rFonts w:ascii="Bookman Old Style" w:hAnsi="Bookman Old Style"/>
                <w:i w:val="0"/>
                <w:sz w:val="22"/>
                <w:szCs w:val="22"/>
              </w:rPr>
            </w:pPr>
            <w:r w:rsidRPr="00E44DFD">
              <w:rPr>
                <w:rStyle w:val="Accentuation"/>
                <w:rFonts w:ascii="Bookman Old Style" w:hAnsi="Bookman Old Style"/>
                <w:sz w:val="22"/>
                <w:szCs w:val="22"/>
              </w:rPr>
              <w:t>CONSERVATION JUSTICE GABON</w:t>
            </w:r>
          </w:p>
          <w:p w14:paraId="7E4485E9" w14:textId="77777777" w:rsidR="000B7079" w:rsidRPr="00E44DFD" w:rsidRDefault="000B7079" w:rsidP="00E44DFD">
            <w:pPr>
              <w:rPr>
                <w:rStyle w:val="Accentuation"/>
                <w:rFonts w:ascii="Bookman Old Style" w:hAnsi="Bookman Old Style"/>
                <w:i w:val="0"/>
                <w:sz w:val="22"/>
                <w:szCs w:val="22"/>
              </w:rPr>
            </w:pPr>
            <w:r w:rsidRPr="00E44DFD">
              <w:rPr>
                <w:rStyle w:val="Accentuation"/>
                <w:rFonts w:ascii="Bookman Old Style" w:hAnsi="Bookman Old Style"/>
                <w:sz w:val="22"/>
                <w:szCs w:val="22"/>
              </w:rPr>
              <w:t>Téléphone : (+241) 0</w:t>
            </w:r>
            <w:r w:rsidR="00E44DFD" w:rsidRPr="00E44DFD">
              <w:rPr>
                <w:rStyle w:val="Accentuation"/>
                <w:rFonts w:ascii="Bookman Old Style" w:hAnsi="Bookman Old Style"/>
                <w:sz w:val="22"/>
                <w:szCs w:val="22"/>
              </w:rPr>
              <w:t>7</w:t>
            </w:r>
            <w:r w:rsidRPr="00E44DFD">
              <w:rPr>
                <w:rStyle w:val="Accentuation"/>
                <w:rFonts w:ascii="Bookman Old Style" w:hAnsi="Bookman Old Style"/>
                <w:sz w:val="22"/>
                <w:szCs w:val="22"/>
              </w:rPr>
              <w:t>4 23 38 65</w:t>
            </w:r>
          </w:p>
          <w:p w14:paraId="25D22D3D" w14:textId="77777777" w:rsidR="000B7079" w:rsidRPr="00E44DFD" w:rsidRDefault="000B7079" w:rsidP="00E44DFD">
            <w:pPr>
              <w:rPr>
                <w:rStyle w:val="Accentuation"/>
                <w:rFonts w:ascii="Bookman Old Style" w:hAnsi="Bookman Old Style"/>
                <w:i w:val="0"/>
                <w:sz w:val="22"/>
                <w:szCs w:val="22"/>
              </w:rPr>
            </w:pPr>
            <w:r w:rsidRPr="00E44DFD">
              <w:rPr>
                <w:rStyle w:val="Accentuation"/>
                <w:rFonts w:ascii="Bookman Old Style" w:hAnsi="Bookman Old Style"/>
                <w:sz w:val="22"/>
                <w:szCs w:val="22"/>
              </w:rPr>
              <w:t>E-mail : luc@conservation-justice.org</w:t>
            </w:r>
          </w:p>
          <w:p w14:paraId="0B1E3EBA" w14:textId="77777777" w:rsidR="000B7079" w:rsidRPr="00E44DFD" w:rsidRDefault="000B7079" w:rsidP="000F4C8D">
            <w:pPr>
              <w:jc w:val="right"/>
              <w:rPr>
                <w:rStyle w:val="Accentuation"/>
                <w:rFonts w:ascii="Bookman Old Style" w:hAnsi="Bookman Old Style"/>
                <w:i w:val="0"/>
                <w:sz w:val="22"/>
                <w:szCs w:val="22"/>
                <w:lang w:val="en-US"/>
              </w:rPr>
            </w:pPr>
            <w:proofErr w:type="gramStart"/>
            <w:r w:rsidRPr="00E44DFD">
              <w:rPr>
                <w:rStyle w:val="Accentuation"/>
                <w:rFonts w:ascii="Bookman Old Style" w:hAnsi="Bookman Old Style"/>
                <w:sz w:val="22"/>
                <w:szCs w:val="22"/>
                <w:lang w:val="en-US"/>
              </w:rPr>
              <w:t>Web :</w:t>
            </w:r>
            <w:proofErr w:type="gramEnd"/>
            <w:r w:rsidRPr="00E44DFD">
              <w:rPr>
                <w:rStyle w:val="Accentuation"/>
                <w:rFonts w:ascii="Bookman Old Style" w:hAnsi="Bookman Old Style"/>
                <w:sz w:val="22"/>
                <w:szCs w:val="22"/>
                <w:lang w:val="en-US"/>
              </w:rPr>
              <w:t xml:space="preserve"> www.conservation-justice.org</w:t>
            </w:r>
          </w:p>
        </w:tc>
      </w:tr>
    </w:tbl>
    <w:p w14:paraId="4EC3D74C" w14:textId="77777777" w:rsidR="000B7079" w:rsidRPr="00782EA3" w:rsidRDefault="000B7079" w:rsidP="00733E47">
      <w:pPr>
        <w:pStyle w:val="En-tte"/>
        <w:tabs>
          <w:tab w:val="left" w:pos="708"/>
        </w:tabs>
        <w:rPr>
          <w:rStyle w:val="Accentuation"/>
          <w:rFonts w:ascii="Bookman Old Style" w:hAnsi="Bookman Old Style"/>
          <w:i w:val="0"/>
          <w:lang w:val="en-US"/>
        </w:rPr>
      </w:pPr>
    </w:p>
    <w:p w14:paraId="4A276CE7" w14:textId="77777777" w:rsidR="000B7079" w:rsidRPr="00782EA3" w:rsidRDefault="000B7079" w:rsidP="000B7079">
      <w:pPr>
        <w:pStyle w:val="En-tte"/>
        <w:tabs>
          <w:tab w:val="left" w:pos="708"/>
        </w:tabs>
        <w:jc w:val="center"/>
        <w:rPr>
          <w:rStyle w:val="Accentuation"/>
          <w:rFonts w:ascii="Bookman Old Style" w:hAnsi="Bookman Old Style"/>
          <w:i w:val="0"/>
          <w:sz w:val="22"/>
          <w:szCs w:val="22"/>
          <w:lang w:val="en-US"/>
        </w:rPr>
      </w:pPr>
    </w:p>
    <w:p w14:paraId="6589C224" w14:textId="77777777" w:rsidR="000B7079" w:rsidRPr="00782EA3" w:rsidRDefault="000B7079" w:rsidP="000B7079">
      <w:pPr>
        <w:pStyle w:val="En-tte"/>
        <w:tabs>
          <w:tab w:val="left" w:pos="708"/>
        </w:tabs>
        <w:rPr>
          <w:rStyle w:val="Accentuation"/>
          <w:rFonts w:ascii="Bookman Old Style" w:hAnsi="Bookman Old Style"/>
          <w:i w:val="0"/>
          <w:sz w:val="22"/>
          <w:szCs w:val="22"/>
          <w:lang w:val="en-US"/>
        </w:rPr>
      </w:pPr>
    </w:p>
    <w:p w14:paraId="70E9D251" w14:textId="77777777" w:rsidR="000B7079" w:rsidRPr="00E27DD6" w:rsidRDefault="000B7079" w:rsidP="000B7079">
      <w:pPr>
        <w:pStyle w:val="En-tte"/>
        <w:tabs>
          <w:tab w:val="left" w:pos="708"/>
        </w:tabs>
        <w:jc w:val="center"/>
        <w:rPr>
          <w:rStyle w:val="Accentuation"/>
          <w:rFonts w:ascii="Bookman Old Style" w:hAnsi="Bookman Old Style"/>
          <w:i w:val="0"/>
          <w:sz w:val="22"/>
          <w:szCs w:val="22"/>
        </w:rPr>
      </w:pPr>
      <w:r w:rsidRPr="00E27DD6">
        <w:rPr>
          <w:rStyle w:val="Accentuation"/>
          <w:rFonts w:ascii="Bookman Old Style" w:hAnsi="Bookman Old Style"/>
          <w:sz w:val="22"/>
          <w:szCs w:val="22"/>
        </w:rPr>
        <w:t>SOMMAIRE</w:t>
      </w:r>
    </w:p>
    <w:p w14:paraId="55365533" w14:textId="77777777" w:rsidR="000B7079" w:rsidRPr="00E27DD6" w:rsidRDefault="000B7079" w:rsidP="000B7079">
      <w:pPr>
        <w:pStyle w:val="En-tte"/>
        <w:tabs>
          <w:tab w:val="left" w:pos="708"/>
        </w:tabs>
        <w:jc w:val="center"/>
        <w:rPr>
          <w:rStyle w:val="Accentuation"/>
          <w:rFonts w:ascii="Bookman Old Style" w:hAnsi="Bookman Old Style"/>
          <w:i w:val="0"/>
          <w:sz w:val="22"/>
          <w:szCs w:val="22"/>
        </w:rPr>
      </w:pPr>
    </w:p>
    <w:p w14:paraId="206F7566" w14:textId="77777777" w:rsidR="000B7079" w:rsidRPr="00E27DD6" w:rsidRDefault="000B7079" w:rsidP="000B7079">
      <w:pPr>
        <w:pStyle w:val="En-tte"/>
        <w:tabs>
          <w:tab w:val="left" w:pos="708"/>
        </w:tabs>
        <w:jc w:val="center"/>
        <w:rPr>
          <w:rStyle w:val="Accentuation"/>
          <w:rFonts w:ascii="Bookman Old Style" w:hAnsi="Bookman Old Style"/>
          <w:i w:val="0"/>
          <w:sz w:val="22"/>
          <w:szCs w:val="22"/>
        </w:rPr>
      </w:pPr>
    </w:p>
    <w:p w14:paraId="6EF784CC" w14:textId="77777777" w:rsidR="000B7079" w:rsidRPr="00E27DD6" w:rsidRDefault="000B7079" w:rsidP="000B7079">
      <w:pPr>
        <w:pStyle w:val="En-tte"/>
        <w:tabs>
          <w:tab w:val="left" w:pos="708"/>
        </w:tabs>
        <w:jc w:val="center"/>
        <w:rPr>
          <w:rStyle w:val="Accentuation"/>
          <w:rFonts w:ascii="Bookman Old Style" w:hAnsi="Bookman Old Style"/>
          <w:i w:val="0"/>
          <w:sz w:val="22"/>
          <w:szCs w:val="22"/>
        </w:rPr>
      </w:pPr>
    </w:p>
    <w:p w14:paraId="28AE6F89" w14:textId="77777777" w:rsidR="000B7079" w:rsidRPr="00E27DD6" w:rsidRDefault="008F33C7" w:rsidP="000B7079">
      <w:pPr>
        <w:pStyle w:val="TM1"/>
        <w:rPr>
          <w:rStyle w:val="Accentuation"/>
          <w:rFonts w:ascii="Bookman Old Style" w:eastAsiaTheme="minorEastAsia" w:hAnsi="Bookman Old Style"/>
          <w:i w:val="0"/>
          <w:sz w:val="22"/>
          <w:szCs w:val="22"/>
        </w:rPr>
      </w:pPr>
      <w:hyperlink w:anchor="_Toc7774926" w:history="1">
        <w:r w:rsidR="000B7079" w:rsidRPr="00E27DD6">
          <w:rPr>
            <w:rStyle w:val="Accentuation"/>
            <w:rFonts w:ascii="Bookman Old Style" w:hAnsi="Bookman Old Style"/>
            <w:sz w:val="22"/>
            <w:szCs w:val="22"/>
          </w:rPr>
          <w:t>1</w:t>
        </w:r>
        <w:r w:rsidR="000B7079" w:rsidRPr="00E27DD6">
          <w:rPr>
            <w:rStyle w:val="Accentuation"/>
            <w:rFonts w:ascii="Bookman Old Style" w:eastAsiaTheme="minorEastAsia" w:hAnsi="Bookman Old Style"/>
            <w:sz w:val="22"/>
            <w:szCs w:val="22"/>
          </w:rPr>
          <w:tab/>
        </w:r>
        <w:r w:rsidR="000B7079" w:rsidRPr="00E27DD6">
          <w:rPr>
            <w:rStyle w:val="Accentuation"/>
            <w:rFonts w:ascii="Bookman Old Style" w:hAnsi="Bookman Old Style"/>
            <w:sz w:val="22"/>
            <w:szCs w:val="22"/>
          </w:rPr>
          <w:t>Points principaux</w:t>
        </w:r>
        <w:r w:rsidR="000B7079" w:rsidRPr="00E27DD6">
          <w:rPr>
            <w:rStyle w:val="Accentuation"/>
            <w:rFonts w:ascii="Bookman Old Style" w:hAnsi="Bookman Old Style"/>
            <w:webHidden/>
            <w:sz w:val="22"/>
            <w:szCs w:val="22"/>
          </w:rPr>
          <w:tab/>
        </w:r>
        <w:r w:rsidR="00A42EB5" w:rsidRPr="00E27DD6">
          <w:rPr>
            <w:rStyle w:val="Accentuation"/>
            <w:rFonts w:ascii="Bookman Old Style" w:hAnsi="Bookman Old Style"/>
            <w:webHidden/>
            <w:sz w:val="22"/>
            <w:szCs w:val="22"/>
          </w:rPr>
          <w:t>2</w:t>
        </w:r>
      </w:hyperlink>
    </w:p>
    <w:p w14:paraId="46F9A420" w14:textId="77777777" w:rsidR="000B7079" w:rsidRPr="00E27DD6" w:rsidRDefault="008F33C7" w:rsidP="000B7079">
      <w:pPr>
        <w:pStyle w:val="TM1"/>
        <w:rPr>
          <w:rStyle w:val="Accentuation"/>
          <w:rFonts w:ascii="Bookman Old Style" w:eastAsiaTheme="minorEastAsia" w:hAnsi="Bookman Old Style"/>
          <w:i w:val="0"/>
          <w:sz w:val="22"/>
          <w:szCs w:val="22"/>
        </w:rPr>
      </w:pPr>
      <w:hyperlink w:anchor="_Toc7774927" w:history="1">
        <w:r w:rsidR="000B7079" w:rsidRPr="00E27DD6">
          <w:rPr>
            <w:rStyle w:val="Accentuation"/>
            <w:rFonts w:ascii="Bookman Old Style" w:hAnsi="Bookman Old Style"/>
            <w:sz w:val="22"/>
            <w:szCs w:val="22"/>
          </w:rPr>
          <w:t>2</w:t>
        </w:r>
        <w:r w:rsidR="000B7079" w:rsidRPr="00E27DD6">
          <w:rPr>
            <w:rStyle w:val="Accentuation"/>
            <w:rFonts w:ascii="Bookman Old Style" w:eastAsiaTheme="minorEastAsia" w:hAnsi="Bookman Old Style"/>
            <w:sz w:val="22"/>
            <w:szCs w:val="22"/>
          </w:rPr>
          <w:tab/>
        </w:r>
        <w:r w:rsidR="000B7079" w:rsidRPr="00E27DD6">
          <w:rPr>
            <w:rStyle w:val="Accentuation"/>
            <w:rFonts w:ascii="Bookman Old Style" w:hAnsi="Bookman Old Style"/>
            <w:sz w:val="22"/>
            <w:szCs w:val="22"/>
          </w:rPr>
          <w:t>Investigations</w:t>
        </w:r>
        <w:r w:rsidR="000B7079" w:rsidRPr="00E27DD6">
          <w:rPr>
            <w:rStyle w:val="Accentuation"/>
            <w:rFonts w:ascii="Bookman Old Style" w:hAnsi="Bookman Old Style"/>
            <w:webHidden/>
            <w:sz w:val="22"/>
            <w:szCs w:val="22"/>
          </w:rPr>
          <w:tab/>
        </w:r>
        <w:r w:rsidR="00A42EB5" w:rsidRPr="00E27DD6">
          <w:rPr>
            <w:rStyle w:val="Accentuation"/>
            <w:rFonts w:ascii="Bookman Old Style" w:hAnsi="Bookman Old Style"/>
            <w:webHidden/>
            <w:sz w:val="22"/>
            <w:szCs w:val="22"/>
          </w:rPr>
          <w:t>2</w:t>
        </w:r>
      </w:hyperlink>
    </w:p>
    <w:p w14:paraId="721A32CB" w14:textId="77777777" w:rsidR="000B7079" w:rsidRPr="00E27DD6" w:rsidRDefault="008F33C7" w:rsidP="000B7079">
      <w:pPr>
        <w:pStyle w:val="TM1"/>
        <w:rPr>
          <w:rStyle w:val="Accentuation"/>
          <w:rFonts w:ascii="Bookman Old Style" w:eastAsiaTheme="minorEastAsia" w:hAnsi="Bookman Old Style"/>
          <w:i w:val="0"/>
          <w:sz w:val="22"/>
          <w:szCs w:val="22"/>
        </w:rPr>
      </w:pPr>
      <w:hyperlink w:anchor="_Toc7774928" w:history="1">
        <w:r w:rsidR="000B7079" w:rsidRPr="00E27DD6">
          <w:rPr>
            <w:rStyle w:val="Accentuation"/>
            <w:rFonts w:ascii="Bookman Old Style" w:hAnsi="Bookman Old Style"/>
            <w:sz w:val="22"/>
            <w:szCs w:val="22"/>
          </w:rPr>
          <w:t>3</w:t>
        </w:r>
        <w:r w:rsidR="000B7079" w:rsidRPr="00E27DD6">
          <w:rPr>
            <w:rStyle w:val="Accentuation"/>
            <w:rFonts w:ascii="Bookman Old Style" w:eastAsiaTheme="minorEastAsia" w:hAnsi="Bookman Old Style"/>
            <w:sz w:val="22"/>
            <w:szCs w:val="22"/>
          </w:rPr>
          <w:tab/>
        </w:r>
        <w:r w:rsidR="000B7079" w:rsidRPr="00E27DD6">
          <w:rPr>
            <w:rStyle w:val="Accentuation"/>
            <w:rFonts w:ascii="Bookman Old Style" w:hAnsi="Bookman Old Style"/>
            <w:sz w:val="22"/>
            <w:szCs w:val="22"/>
          </w:rPr>
          <w:t>Opérations</w:t>
        </w:r>
        <w:r w:rsidR="000B7079" w:rsidRPr="00E27DD6">
          <w:rPr>
            <w:rStyle w:val="Accentuation"/>
            <w:rFonts w:ascii="Bookman Old Style" w:hAnsi="Bookman Old Style"/>
            <w:webHidden/>
            <w:sz w:val="22"/>
            <w:szCs w:val="22"/>
          </w:rPr>
          <w:tab/>
        </w:r>
      </w:hyperlink>
      <w:r w:rsidR="00A42EB5" w:rsidRPr="00E27DD6">
        <w:t>2</w:t>
      </w:r>
      <w:r w:rsidR="001E5C8C">
        <w:t>-3</w:t>
      </w:r>
    </w:p>
    <w:p w14:paraId="721B8769" w14:textId="77777777" w:rsidR="000B7079" w:rsidRPr="00E27DD6" w:rsidRDefault="008F33C7" w:rsidP="000B7079">
      <w:pPr>
        <w:pStyle w:val="TM1"/>
        <w:rPr>
          <w:rStyle w:val="Accentuation"/>
          <w:rFonts w:ascii="Bookman Old Style" w:eastAsiaTheme="minorEastAsia" w:hAnsi="Bookman Old Style"/>
          <w:i w:val="0"/>
          <w:sz w:val="22"/>
          <w:szCs w:val="22"/>
        </w:rPr>
      </w:pPr>
      <w:hyperlink w:anchor="_Toc7774929" w:history="1">
        <w:r w:rsidR="000B7079" w:rsidRPr="00E27DD6">
          <w:rPr>
            <w:rStyle w:val="Accentuation"/>
            <w:rFonts w:ascii="Bookman Old Style" w:hAnsi="Bookman Old Style"/>
            <w:sz w:val="22"/>
            <w:szCs w:val="22"/>
          </w:rPr>
          <w:t>4</w:t>
        </w:r>
        <w:r w:rsidR="000B7079" w:rsidRPr="00E27DD6">
          <w:rPr>
            <w:rStyle w:val="Accentuation"/>
            <w:rFonts w:ascii="Bookman Old Style" w:eastAsiaTheme="minorEastAsia" w:hAnsi="Bookman Old Style"/>
            <w:sz w:val="22"/>
            <w:szCs w:val="22"/>
          </w:rPr>
          <w:tab/>
        </w:r>
        <w:r w:rsidR="000B7079" w:rsidRPr="00E27DD6">
          <w:rPr>
            <w:rStyle w:val="Accentuation"/>
            <w:rFonts w:ascii="Bookman Old Style" w:hAnsi="Bookman Old Style"/>
            <w:sz w:val="22"/>
            <w:szCs w:val="22"/>
          </w:rPr>
          <w:t>Département juridique</w:t>
        </w:r>
        <w:r w:rsidR="000B7079" w:rsidRPr="00E27DD6">
          <w:rPr>
            <w:rStyle w:val="Accentuation"/>
            <w:rFonts w:ascii="Bookman Old Style" w:hAnsi="Bookman Old Style"/>
            <w:webHidden/>
            <w:sz w:val="22"/>
            <w:szCs w:val="22"/>
          </w:rPr>
          <w:tab/>
        </w:r>
        <w:r w:rsidR="001E5C8C">
          <w:rPr>
            <w:rStyle w:val="Accentuation"/>
            <w:rFonts w:ascii="Bookman Old Style" w:hAnsi="Bookman Old Style"/>
            <w:webHidden/>
            <w:sz w:val="22"/>
            <w:szCs w:val="22"/>
          </w:rPr>
          <w:t>3</w:t>
        </w:r>
        <w:r w:rsidR="000E56C6">
          <w:rPr>
            <w:rStyle w:val="Accentuation"/>
            <w:rFonts w:ascii="Bookman Old Style" w:hAnsi="Bookman Old Style"/>
            <w:webHidden/>
            <w:sz w:val="22"/>
            <w:szCs w:val="22"/>
          </w:rPr>
          <w:t>-</w:t>
        </w:r>
        <w:r w:rsidR="009A470C">
          <w:rPr>
            <w:rStyle w:val="Accentuation"/>
            <w:rFonts w:ascii="Bookman Old Style" w:hAnsi="Bookman Old Style"/>
            <w:webHidden/>
            <w:sz w:val="22"/>
            <w:szCs w:val="22"/>
          </w:rPr>
          <w:t>4</w:t>
        </w:r>
      </w:hyperlink>
    </w:p>
    <w:p w14:paraId="2526B61E" w14:textId="77777777" w:rsidR="000B7079" w:rsidRPr="00E27DD6" w:rsidRDefault="008F33C7" w:rsidP="000B7079">
      <w:pPr>
        <w:pStyle w:val="TM1"/>
        <w:rPr>
          <w:rStyle w:val="Accentuation"/>
          <w:rFonts w:ascii="Bookman Old Style" w:eastAsiaTheme="minorEastAsia" w:hAnsi="Bookman Old Style"/>
          <w:i w:val="0"/>
          <w:sz w:val="22"/>
          <w:szCs w:val="22"/>
        </w:rPr>
      </w:pPr>
      <w:hyperlink w:anchor="_Toc7774930" w:history="1">
        <w:r w:rsidR="000B7079" w:rsidRPr="00E27DD6">
          <w:rPr>
            <w:rStyle w:val="Accentuation"/>
            <w:rFonts w:ascii="Bookman Old Style" w:hAnsi="Bookman Old Style"/>
            <w:sz w:val="22"/>
            <w:szCs w:val="22"/>
          </w:rPr>
          <w:t>5</w:t>
        </w:r>
        <w:r w:rsidR="000B7079" w:rsidRPr="00E27DD6">
          <w:rPr>
            <w:rStyle w:val="Accentuation"/>
            <w:rFonts w:ascii="Bookman Old Style" w:eastAsiaTheme="minorEastAsia" w:hAnsi="Bookman Old Style"/>
            <w:sz w:val="22"/>
            <w:szCs w:val="22"/>
          </w:rPr>
          <w:tab/>
        </w:r>
        <w:r w:rsidR="000B7079" w:rsidRPr="00E27DD6">
          <w:rPr>
            <w:rStyle w:val="Accentuation"/>
            <w:rFonts w:ascii="Bookman Old Style" w:hAnsi="Bookman Old Style"/>
            <w:sz w:val="22"/>
            <w:szCs w:val="22"/>
          </w:rPr>
          <w:t>Communication</w:t>
        </w:r>
        <w:r w:rsidR="000B7079" w:rsidRPr="00E27DD6">
          <w:rPr>
            <w:rStyle w:val="Accentuation"/>
            <w:rFonts w:ascii="Bookman Old Style" w:hAnsi="Bookman Old Style"/>
            <w:webHidden/>
            <w:sz w:val="22"/>
            <w:szCs w:val="22"/>
          </w:rPr>
          <w:tab/>
        </w:r>
      </w:hyperlink>
      <w:r w:rsidR="009A470C">
        <w:rPr>
          <w:rFonts w:ascii="Bookman Old Style" w:hAnsi="Bookman Old Style"/>
          <w:sz w:val="22"/>
          <w:szCs w:val="22"/>
        </w:rPr>
        <w:t>5</w:t>
      </w:r>
    </w:p>
    <w:p w14:paraId="592550D3" w14:textId="77777777" w:rsidR="000B7079" w:rsidRPr="00E27DD6" w:rsidRDefault="008F33C7" w:rsidP="000B7079">
      <w:pPr>
        <w:pStyle w:val="TM1"/>
        <w:rPr>
          <w:rStyle w:val="Accentuation"/>
          <w:rFonts w:ascii="Bookman Old Style" w:eastAsiaTheme="minorEastAsia" w:hAnsi="Bookman Old Style"/>
          <w:i w:val="0"/>
          <w:sz w:val="22"/>
          <w:szCs w:val="22"/>
        </w:rPr>
      </w:pPr>
      <w:hyperlink w:anchor="_Toc7774931" w:history="1">
        <w:r w:rsidR="000B7079" w:rsidRPr="00E27DD6">
          <w:rPr>
            <w:rStyle w:val="Accentuation"/>
            <w:rFonts w:ascii="Bookman Old Style" w:hAnsi="Bookman Old Style"/>
            <w:sz w:val="22"/>
            <w:szCs w:val="22"/>
          </w:rPr>
          <w:t>6</w:t>
        </w:r>
        <w:r w:rsidR="000B7079" w:rsidRPr="00E27DD6">
          <w:rPr>
            <w:rStyle w:val="Accentuation"/>
            <w:rFonts w:ascii="Bookman Old Style" w:eastAsiaTheme="minorEastAsia" w:hAnsi="Bookman Old Style"/>
            <w:sz w:val="22"/>
            <w:szCs w:val="22"/>
          </w:rPr>
          <w:tab/>
        </w:r>
        <w:r w:rsidR="000B7079" w:rsidRPr="00E27DD6">
          <w:rPr>
            <w:rStyle w:val="Accentuation"/>
            <w:rFonts w:ascii="Bookman Old Style" w:hAnsi="Bookman Old Style"/>
            <w:sz w:val="22"/>
            <w:szCs w:val="22"/>
          </w:rPr>
          <w:t>Relations extérieures</w:t>
        </w:r>
        <w:r w:rsidR="000B7079" w:rsidRPr="00E27DD6">
          <w:rPr>
            <w:rStyle w:val="Accentuation"/>
            <w:rFonts w:ascii="Bookman Old Style" w:hAnsi="Bookman Old Style"/>
            <w:webHidden/>
            <w:sz w:val="22"/>
            <w:szCs w:val="22"/>
          </w:rPr>
          <w:tab/>
        </w:r>
      </w:hyperlink>
      <w:r w:rsidR="001E5C8C">
        <w:t>5</w:t>
      </w:r>
    </w:p>
    <w:p w14:paraId="079A83C6" w14:textId="77777777" w:rsidR="000B7079" w:rsidRPr="00E27DD6" w:rsidRDefault="008F33C7" w:rsidP="000B7079">
      <w:pPr>
        <w:pStyle w:val="TM1"/>
        <w:rPr>
          <w:rStyle w:val="Accentuation"/>
          <w:rFonts w:ascii="Bookman Old Style" w:eastAsiaTheme="minorEastAsia" w:hAnsi="Bookman Old Style"/>
          <w:i w:val="0"/>
          <w:sz w:val="22"/>
          <w:szCs w:val="22"/>
        </w:rPr>
      </w:pPr>
      <w:hyperlink w:anchor="_Toc7774932" w:history="1">
        <w:r w:rsidR="000B7079" w:rsidRPr="00E27DD6">
          <w:rPr>
            <w:rStyle w:val="Accentuation"/>
            <w:rFonts w:ascii="Bookman Old Style" w:hAnsi="Bookman Old Style"/>
            <w:sz w:val="22"/>
            <w:szCs w:val="22"/>
          </w:rPr>
          <w:t>7</w:t>
        </w:r>
        <w:r w:rsidR="000B7079" w:rsidRPr="00E27DD6">
          <w:rPr>
            <w:rStyle w:val="Accentuation"/>
            <w:rFonts w:ascii="Bookman Old Style" w:eastAsiaTheme="minorEastAsia" w:hAnsi="Bookman Old Style"/>
            <w:sz w:val="22"/>
            <w:szCs w:val="22"/>
          </w:rPr>
          <w:tab/>
        </w:r>
        <w:r w:rsidR="000B7079" w:rsidRPr="00E27DD6">
          <w:rPr>
            <w:rStyle w:val="Accentuation"/>
            <w:rFonts w:ascii="Bookman Old Style" w:hAnsi="Bookman Old Style"/>
            <w:sz w:val="22"/>
            <w:szCs w:val="22"/>
          </w:rPr>
          <w:t>Conclusion</w:t>
        </w:r>
        <w:r w:rsidR="000B7079" w:rsidRPr="00E27DD6">
          <w:rPr>
            <w:rStyle w:val="Accentuation"/>
            <w:rFonts w:ascii="Bookman Old Style" w:hAnsi="Bookman Old Style"/>
            <w:webHidden/>
            <w:sz w:val="22"/>
            <w:szCs w:val="22"/>
          </w:rPr>
          <w:tab/>
        </w:r>
        <w:r w:rsidR="001E5C8C">
          <w:rPr>
            <w:rStyle w:val="Accentuation"/>
            <w:rFonts w:ascii="Bookman Old Style" w:hAnsi="Bookman Old Style"/>
            <w:webHidden/>
            <w:sz w:val="22"/>
            <w:szCs w:val="22"/>
          </w:rPr>
          <w:t>5</w:t>
        </w:r>
      </w:hyperlink>
    </w:p>
    <w:p w14:paraId="4DBE0398" w14:textId="77777777" w:rsidR="00733E47" w:rsidRPr="00E27DD6" w:rsidRDefault="00733E47" w:rsidP="00733E47">
      <w:pPr>
        <w:tabs>
          <w:tab w:val="right" w:leader="dot" w:pos="9062"/>
        </w:tabs>
        <w:jc w:val="center"/>
        <w:rPr>
          <w:rStyle w:val="Accentuation"/>
          <w:rFonts w:ascii="Bookman Old Style" w:hAnsi="Bookman Old Style"/>
          <w:i w:val="0"/>
          <w:sz w:val="22"/>
          <w:szCs w:val="22"/>
        </w:rPr>
      </w:pPr>
    </w:p>
    <w:p w14:paraId="0D9CAEB2" w14:textId="77777777" w:rsidR="00C0158B" w:rsidRPr="00E27DD6" w:rsidRDefault="00C0158B" w:rsidP="00733E47">
      <w:pPr>
        <w:tabs>
          <w:tab w:val="right" w:leader="dot" w:pos="9062"/>
        </w:tabs>
        <w:jc w:val="center"/>
        <w:rPr>
          <w:rStyle w:val="Accentuation"/>
          <w:rFonts w:ascii="Bookman Old Style" w:hAnsi="Bookman Old Style"/>
          <w:i w:val="0"/>
          <w:sz w:val="22"/>
          <w:szCs w:val="22"/>
        </w:rPr>
      </w:pPr>
    </w:p>
    <w:p w14:paraId="4EE69949" w14:textId="77777777" w:rsidR="000B7079" w:rsidRPr="00E27DD6" w:rsidRDefault="000B7079" w:rsidP="000B7079">
      <w:pPr>
        <w:tabs>
          <w:tab w:val="right" w:leader="dot" w:pos="9062"/>
        </w:tabs>
        <w:jc w:val="center"/>
        <w:rPr>
          <w:rStyle w:val="Accentuation"/>
          <w:rFonts w:ascii="Bookman Old Style" w:hAnsi="Bookman Old Style"/>
          <w:i w:val="0"/>
          <w:sz w:val="22"/>
          <w:szCs w:val="22"/>
        </w:rPr>
      </w:pPr>
    </w:p>
    <w:p w14:paraId="7F936F51" w14:textId="77777777" w:rsidR="00733E47" w:rsidRPr="00E27DD6" w:rsidRDefault="00733E47" w:rsidP="00733E47">
      <w:pPr>
        <w:jc w:val="center"/>
        <w:rPr>
          <w:b/>
          <w:sz w:val="22"/>
          <w:szCs w:val="22"/>
        </w:rPr>
      </w:pPr>
      <w:r w:rsidRPr="00E27DD6">
        <w:rPr>
          <w:b/>
          <w:sz w:val="22"/>
          <w:szCs w:val="22"/>
        </w:rPr>
        <w:t xml:space="preserve">Rapport Mensuel </w:t>
      </w:r>
      <w:r w:rsidR="004A2F3F">
        <w:rPr>
          <w:b/>
          <w:sz w:val="22"/>
          <w:szCs w:val="22"/>
        </w:rPr>
        <w:t>juillet</w:t>
      </w:r>
      <w:r w:rsidR="00723854" w:rsidRPr="00E27DD6">
        <w:rPr>
          <w:b/>
          <w:sz w:val="22"/>
          <w:szCs w:val="22"/>
        </w:rPr>
        <w:t xml:space="preserve"> </w:t>
      </w:r>
      <w:r w:rsidRPr="00E27DD6">
        <w:rPr>
          <w:b/>
          <w:sz w:val="22"/>
          <w:szCs w:val="22"/>
        </w:rPr>
        <w:t>20</w:t>
      </w:r>
      <w:r w:rsidR="00A57371" w:rsidRPr="00E27DD6">
        <w:rPr>
          <w:b/>
          <w:sz w:val="22"/>
          <w:szCs w:val="22"/>
        </w:rPr>
        <w:t>20</w:t>
      </w:r>
    </w:p>
    <w:p w14:paraId="5622628C" w14:textId="77777777" w:rsidR="00733E47" w:rsidRPr="00E27DD6" w:rsidRDefault="00733E47" w:rsidP="00733E47">
      <w:pPr>
        <w:jc w:val="center"/>
        <w:rPr>
          <w:b/>
          <w:sz w:val="22"/>
          <w:szCs w:val="22"/>
        </w:rPr>
      </w:pPr>
    </w:p>
    <w:p w14:paraId="002B72E6" w14:textId="77777777" w:rsidR="00733E47" w:rsidRPr="00E27DD6" w:rsidRDefault="00733E47" w:rsidP="00733E47">
      <w:pPr>
        <w:jc w:val="center"/>
        <w:rPr>
          <w:sz w:val="22"/>
          <w:szCs w:val="22"/>
        </w:rPr>
      </w:pPr>
      <w:r w:rsidRPr="00E27DD6">
        <w:rPr>
          <w:sz w:val="22"/>
          <w:szCs w:val="22"/>
        </w:rPr>
        <w:t>Conservation Justice</w:t>
      </w:r>
    </w:p>
    <w:p w14:paraId="1DE39376" w14:textId="77777777" w:rsidR="000B7079" w:rsidRPr="00E27DD6" w:rsidRDefault="000B7079" w:rsidP="00733E47">
      <w:pPr>
        <w:tabs>
          <w:tab w:val="left" w:pos="2680"/>
          <w:tab w:val="right" w:leader="dot" w:pos="9062"/>
        </w:tabs>
        <w:jc w:val="center"/>
        <w:rPr>
          <w:rStyle w:val="Accentuation"/>
          <w:rFonts w:ascii="Bookman Old Style" w:hAnsi="Bookman Old Style"/>
          <w:i w:val="0"/>
          <w:sz w:val="22"/>
          <w:szCs w:val="22"/>
        </w:rPr>
      </w:pPr>
    </w:p>
    <w:p w14:paraId="3E9CC84C" w14:textId="77777777" w:rsidR="00733E47" w:rsidRPr="00E27DD6" w:rsidRDefault="00733E47" w:rsidP="00733E47">
      <w:pPr>
        <w:tabs>
          <w:tab w:val="left" w:pos="2680"/>
          <w:tab w:val="right" w:leader="dot" w:pos="9062"/>
        </w:tabs>
        <w:jc w:val="center"/>
        <w:rPr>
          <w:rStyle w:val="Accentuation"/>
          <w:rFonts w:ascii="Bookman Old Style" w:hAnsi="Bookman Old Style"/>
          <w:i w:val="0"/>
          <w:sz w:val="22"/>
          <w:szCs w:val="22"/>
        </w:rPr>
      </w:pPr>
      <w:r w:rsidRPr="00E27DD6">
        <w:rPr>
          <w:rStyle w:val="Accentuation"/>
          <w:rFonts w:ascii="Bookman Old Style" w:hAnsi="Bookman Old Style"/>
          <w:i w:val="0"/>
          <w:noProof/>
          <w:sz w:val="22"/>
          <w:szCs w:val="22"/>
          <w:lang w:eastAsia="fr-FR"/>
        </w:rPr>
        <w:drawing>
          <wp:inline distT="0" distB="0" distL="0" distR="0" wp14:anchorId="0DCF5960" wp14:editId="66A47FBB">
            <wp:extent cx="1359017" cy="906011"/>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8817" cy="912545"/>
                    </a:xfrm>
                    <a:prstGeom prst="rect">
                      <a:avLst/>
                    </a:prstGeom>
                  </pic:spPr>
                </pic:pic>
              </a:graphicData>
            </a:graphic>
          </wp:inline>
        </w:drawing>
      </w:r>
    </w:p>
    <w:p w14:paraId="1FBCD6D7" w14:textId="77777777" w:rsidR="00733E47" w:rsidRPr="00E27DD6" w:rsidRDefault="00733E47" w:rsidP="00733E47">
      <w:pPr>
        <w:tabs>
          <w:tab w:val="left" w:pos="2680"/>
          <w:tab w:val="right" w:leader="dot" w:pos="9062"/>
        </w:tabs>
        <w:jc w:val="center"/>
        <w:rPr>
          <w:rStyle w:val="Accentuation"/>
          <w:rFonts w:ascii="Arial" w:hAnsi="Arial" w:cs="Arial"/>
          <w:i w:val="0"/>
          <w:sz w:val="22"/>
          <w:szCs w:val="22"/>
        </w:rPr>
      </w:pPr>
      <w:r w:rsidRPr="00E27DD6">
        <w:rPr>
          <w:rStyle w:val="Accentuation"/>
          <w:rFonts w:ascii="Arial" w:hAnsi="Arial" w:cs="Arial"/>
          <w:i w:val="0"/>
          <w:sz w:val="22"/>
          <w:szCs w:val="22"/>
        </w:rPr>
        <w:t>Union européenne</w:t>
      </w:r>
    </w:p>
    <w:p w14:paraId="2A8AB7AB" w14:textId="77777777" w:rsidR="00733E47" w:rsidRPr="00E27DD6" w:rsidRDefault="00733E47" w:rsidP="00733E47">
      <w:pPr>
        <w:tabs>
          <w:tab w:val="left" w:pos="2680"/>
          <w:tab w:val="right" w:leader="dot" w:pos="9062"/>
        </w:tabs>
        <w:jc w:val="center"/>
        <w:rPr>
          <w:rStyle w:val="Accentuation"/>
          <w:rFonts w:ascii="Arial" w:hAnsi="Arial" w:cs="Arial"/>
          <w:i w:val="0"/>
          <w:sz w:val="22"/>
          <w:szCs w:val="22"/>
        </w:rPr>
      </w:pPr>
    </w:p>
    <w:p w14:paraId="26B4F27D" w14:textId="77777777" w:rsidR="00C0158B" w:rsidRPr="00E27DD6" w:rsidRDefault="00C0158B" w:rsidP="00733E47">
      <w:pPr>
        <w:tabs>
          <w:tab w:val="left" w:pos="2680"/>
          <w:tab w:val="right" w:leader="dot" w:pos="9062"/>
        </w:tabs>
        <w:jc w:val="center"/>
        <w:rPr>
          <w:rStyle w:val="Accentuation"/>
          <w:rFonts w:ascii="Arial" w:hAnsi="Arial" w:cs="Arial"/>
          <w:i w:val="0"/>
          <w:sz w:val="22"/>
          <w:szCs w:val="22"/>
        </w:rPr>
      </w:pPr>
    </w:p>
    <w:p w14:paraId="06C77750" w14:textId="77777777" w:rsidR="00733E47" w:rsidRPr="00E27DD6" w:rsidRDefault="00733E47" w:rsidP="00733E47">
      <w:pPr>
        <w:tabs>
          <w:tab w:val="left" w:pos="2680"/>
          <w:tab w:val="right" w:leader="dot" w:pos="9062"/>
        </w:tabs>
        <w:jc w:val="center"/>
        <w:rPr>
          <w:rFonts w:asciiTheme="minorHAnsi" w:hAnsiTheme="minorHAnsi" w:cstheme="minorHAnsi"/>
          <w:color w:val="000000"/>
          <w:sz w:val="22"/>
          <w:szCs w:val="22"/>
          <w:lang w:eastAsia="fr-FR"/>
        </w:rPr>
      </w:pPr>
      <w:r w:rsidRPr="00E27DD6">
        <w:rPr>
          <w:rFonts w:asciiTheme="minorHAnsi" w:hAnsiTheme="minorHAnsi" w:cstheme="minorHAnsi"/>
          <w:color w:val="000000"/>
          <w:sz w:val="22"/>
          <w:szCs w:val="22"/>
          <w:lang w:eastAsia="fr-FR"/>
        </w:rPr>
        <w:t>Cette publication a été produite avec le soutien financier de l’Union européenne. Son contenu relève de la seule responsabilité de Conservation Justice et ne reflète pas nécessairement les opinions de l’Union européenne.</w:t>
      </w:r>
    </w:p>
    <w:p w14:paraId="2D38D9A2" w14:textId="77777777" w:rsidR="00733E47" w:rsidRPr="00E27DD6"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14:paraId="7901DDB6" w14:textId="77777777" w:rsidR="00733E47" w:rsidRPr="00E27DD6"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14:paraId="57A3825B" w14:textId="77777777" w:rsidR="00733E47" w:rsidRPr="00E27DD6"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14:paraId="36CCC4FC" w14:textId="77777777" w:rsidR="00733E47" w:rsidRPr="00E27DD6" w:rsidRDefault="00733E47" w:rsidP="00733E47">
      <w:pPr>
        <w:tabs>
          <w:tab w:val="left" w:pos="2680"/>
          <w:tab w:val="right" w:leader="dot" w:pos="9062"/>
        </w:tabs>
        <w:jc w:val="center"/>
        <w:rPr>
          <w:rFonts w:asciiTheme="minorHAnsi" w:hAnsiTheme="minorHAnsi" w:cstheme="minorHAnsi"/>
          <w:iCs/>
          <w:sz w:val="22"/>
          <w:szCs w:val="22"/>
        </w:rPr>
      </w:pPr>
    </w:p>
    <w:p w14:paraId="68ADCEE9" w14:textId="77777777" w:rsidR="000B7079" w:rsidRPr="00E27DD6" w:rsidRDefault="000B7079" w:rsidP="000B7079">
      <w:pPr>
        <w:rPr>
          <w:rStyle w:val="Accentuation"/>
          <w:rFonts w:ascii="Bookman Old Style" w:hAnsi="Bookman Old Style"/>
          <w:i w:val="0"/>
        </w:rPr>
      </w:pPr>
    </w:p>
    <w:p w14:paraId="6EE7B8E7" w14:textId="77777777" w:rsidR="000B7079" w:rsidRPr="00472948" w:rsidRDefault="000B7079" w:rsidP="000B7079">
      <w:pPr>
        <w:pStyle w:val="Titre1"/>
        <w:shd w:val="clear" w:color="auto" w:fill="000000" w:themeFill="text1"/>
        <w:rPr>
          <w:rStyle w:val="Accentuation"/>
          <w:i w:val="0"/>
          <w:sz w:val="22"/>
          <w:szCs w:val="22"/>
        </w:rPr>
      </w:pPr>
      <w:bookmarkStart w:id="0" w:name="_Toc374452665"/>
      <w:bookmarkStart w:id="1" w:name="_Toc7774926"/>
      <w:r w:rsidRPr="00472948">
        <w:rPr>
          <w:rStyle w:val="Accentuation"/>
          <w:sz w:val="22"/>
          <w:szCs w:val="22"/>
        </w:rPr>
        <w:lastRenderedPageBreak/>
        <w:t>Points principaux</w:t>
      </w:r>
      <w:bookmarkEnd w:id="0"/>
      <w:bookmarkEnd w:id="1"/>
    </w:p>
    <w:p w14:paraId="4AAD6436" w14:textId="77777777" w:rsidR="00B16408" w:rsidRPr="00472948" w:rsidRDefault="00B16408" w:rsidP="00213BF3">
      <w:pPr>
        <w:jc w:val="both"/>
        <w:rPr>
          <w:sz w:val="22"/>
          <w:szCs w:val="22"/>
        </w:rPr>
      </w:pPr>
    </w:p>
    <w:p w14:paraId="78EA53D7" w14:textId="77777777" w:rsidR="00EE308B" w:rsidRPr="00472948" w:rsidRDefault="00EE308B" w:rsidP="00EE308B">
      <w:pPr>
        <w:jc w:val="both"/>
        <w:rPr>
          <w:sz w:val="22"/>
          <w:szCs w:val="22"/>
        </w:rPr>
      </w:pPr>
      <w:r w:rsidRPr="00472948">
        <w:rPr>
          <w:b/>
          <w:i/>
          <w:sz w:val="22"/>
          <w:szCs w:val="22"/>
          <w:u w:val="single"/>
        </w:rPr>
        <w:t>Le 30 juin 2020</w:t>
      </w:r>
      <w:r w:rsidRPr="00472948">
        <w:rPr>
          <w:b/>
          <w:sz w:val="22"/>
          <w:szCs w:val="22"/>
        </w:rPr>
        <w:t>,</w:t>
      </w:r>
      <w:r w:rsidRPr="00472948">
        <w:rPr>
          <w:sz w:val="22"/>
          <w:szCs w:val="22"/>
        </w:rPr>
        <w:t xml:space="preserve"> le projet a pu obtenir via le Ministère en charges des Eaux et forêts, une autorisation spéciale de circuler librement sur toute l’étendue du territoire national, signée par le Ministre de l’intérieur, de la Défense ainsi que le Ministre des Eaux et Forê</w:t>
      </w:r>
      <w:r w:rsidR="002C68E0">
        <w:rPr>
          <w:sz w:val="22"/>
          <w:szCs w:val="22"/>
        </w:rPr>
        <w:t xml:space="preserve">ts </w:t>
      </w:r>
      <w:r w:rsidRPr="00472948">
        <w:rPr>
          <w:sz w:val="22"/>
          <w:szCs w:val="22"/>
        </w:rPr>
        <w:t xml:space="preserve">a permis de reprendre avec les missions à l’intérieur du pays. Au total, </w:t>
      </w:r>
      <w:r w:rsidRPr="00472948">
        <w:rPr>
          <w:b/>
          <w:sz w:val="22"/>
          <w:szCs w:val="22"/>
        </w:rPr>
        <w:t>32</w:t>
      </w:r>
      <w:r w:rsidRPr="00472948">
        <w:rPr>
          <w:sz w:val="22"/>
          <w:szCs w:val="22"/>
        </w:rPr>
        <w:t xml:space="preserve"> missions d’investigations ont été organisées à travers la province de la Nyanga, de la Ngounié et l’Estuaire avec </w:t>
      </w:r>
      <w:r w:rsidRPr="00472948">
        <w:rPr>
          <w:b/>
          <w:sz w:val="22"/>
          <w:szCs w:val="22"/>
        </w:rPr>
        <w:t>36</w:t>
      </w:r>
      <w:r w:rsidRPr="00472948">
        <w:rPr>
          <w:sz w:val="22"/>
          <w:szCs w:val="22"/>
        </w:rPr>
        <w:t xml:space="preserve"> trafiquants et braconniers majeurs identifiés.</w:t>
      </w:r>
    </w:p>
    <w:p w14:paraId="509F5258" w14:textId="77777777" w:rsidR="00B47160" w:rsidRPr="00472948" w:rsidRDefault="00B47160" w:rsidP="00EE308B">
      <w:pPr>
        <w:jc w:val="both"/>
        <w:rPr>
          <w:sz w:val="22"/>
          <w:szCs w:val="22"/>
        </w:rPr>
      </w:pPr>
    </w:p>
    <w:p w14:paraId="0B26E1E6" w14:textId="6070E099" w:rsidR="00B47160" w:rsidRPr="00472948" w:rsidRDefault="00B47160" w:rsidP="00EE308B">
      <w:pPr>
        <w:jc w:val="both"/>
        <w:rPr>
          <w:color w:val="000000"/>
          <w:sz w:val="22"/>
          <w:szCs w:val="22"/>
          <w:lang w:eastAsia="fr-FR"/>
        </w:rPr>
      </w:pPr>
      <w:r w:rsidRPr="00472948">
        <w:rPr>
          <w:b/>
          <w:color w:val="000000"/>
          <w:sz w:val="22"/>
          <w:szCs w:val="22"/>
          <w:u w:val="single"/>
          <w:lang w:eastAsia="fr-FR"/>
        </w:rPr>
        <w:t xml:space="preserve">Le </w:t>
      </w:r>
      <w:r w:rsidR="00E0723F" w:rsidRPr="00472948">
        <w:rPr>
          <w:b/>
          <w:color w:val="000000"/>
          <w:sz w:val="22"/>
          <w:szCs w:val="22"/>
          <w:u w:val="single"/>
          <w:lang w:eastAsia="fr-FR"/>
        </w:rPr>
        <w:t>0</w:t>
      </w:r>
      <w:r w:rsidRPr="00472948">
        <w:rPr>
          <w:b/>
          <w:color w:val="000000"/>
          <w:sz w:val="22"/>
          <w:szCs w:val="22"/>
          <w:u w:val="single"/>
          <w:lang w:eastAsia="fr-FR"/>
        </w:rPr>
        <w:t>3 juillet 2020</w:t>
      </w:r>
      <w:r w:rsidRPr="00472948">
        <w:rPr>
          <w:color w:val="000000"/>
          <w:sz w:val="22"/>
          <w:szCs w:val="22"/>
          <w:lang w:eastAsia="fr-FR"/>
        </w:rPr>
        <w:t>, à Libreville</w:t>
      </w:r>
      <w:r w:rsidR="004A6B47" w:rsidRPr="00472948">
        <w:rPr>
          <w:color w:val="000000"/>
          <w:sz w:val="22"/>
          <w:szCs w:val="22"/>
          <w:lang w:eastAsia="fr-FR"/>
        </w:rPr>
        <w:t xml:space="preserve"> </w:t>
      </w:r>
      <w:r w:rsidR="004A6B47" w:rsidRPr="00472948">
        <w:rPr>
          <w:sz w:val="22"/>
          <w:szCs w:val="22"/>
        </w:rPr>
        <w:t>(Province de l’Estuaire),</w:t>
      </w:r>
      <w:r w:rsidRPr="00472948">
        <w:rPr>
          <w:color w:val="000000"/>
          <w:sz w:val="22"/>
          <w:szCs w:val="22"/>
          <w:lang w:eastAsia="fr-FR"/>
        </w:rPr>
        <w:t xml:space="preserve"> il y a eu l’audience de délibéré de l’affaire Ministère Public et Ministère des eaux et forêts contre NGUIAMOUSSANGOU Ignace et LEMI Judicaël jugés au mois de juin dernier et l’audience de plaidoirie de l’affaire SAWADOGO ALASANE et KEREDAOUDA ainsi que celle des nommés BOUASSE TRAORE et AYI MINTSA Guy </w:t>
      </w:r>
    </w:p>
    <w:p w14:paraId="6DB4E58E" w14:textId="77777777" w:rsidR="00B47160" w:rsidRPr="00472948" w:rsidRDefault="00B47160" w:rsidP="00EE308B">
      <w:pPr>
        <w:jc w:val="both"/>
        <w:rPr>
          <w:color w:val="000000"/>
          <w:sz w:val="22"/>
          <w:szCs w:val="22"/>
          <w:lang w:eastAsia="fr-FR"/>
        </w:rPr>
      </w:pPr>
    </w:p>
    <w:p w14:paraId="4FD770D8" w14:textId="65653B50" w:rsidR="00B47160" w:rsidRPr="00472948" w:rsidRDefault="00B47160" w:rsidP="00EE308B">
      <w:pPr>
        <w:jc w:val="both"/>
        <w:rPr>
          <w:sz w:val="22"/>
          <w:szCs w:val="22"/>
        </w:rPr>
      </w:pPr>
      <w:r w:rsidRPr="00472948">
        <w:rPr>
          <w:b/>
          <w:sz w:val="22"/>
          <w:szCs w:val="22"/>
          <w:u w:val="single"/>
        </w:rPr>
        <w:t>Le 10 juillet 2020</w:t>
      </w:r>
      <w:r w:rsidRPr="00472948">
        <w:rPr>
          <w:sz w:val="22"/>
          <w:szCs w:val="22"/>
        </w:rPr>
        <w:t xml:space="preserve">, à Tchibanga (Province de la Nyanga), interpellation des nommés </w:t>
      </w:r>
      <w:r w:rsidRPr="00472948">
        <w:rPr>
          <w:color w:val="000000"/>
          <w:sz w:val="22"/>
          <w:szCs w:val="22"/>
          <w:lang w:eastAsia="fr-FR"/>
        </w:rPr>
        <w:t xml:space="preserve">MAKAYA Jean </w:t>
      </w:r>
      <w:proofErr w:type="spellStart"/>
      <w:r w:rsidRPr="00472948">
        <w:rPr>
          <w:color w:val="000000"/>
          <w:sz w:val="22"/>
          <w:szCs w:val="22"/>
          <w:lang w:eastAsia="fr-FR"/>
        </w:rPr>
        <w:t>Almend</w:t>
      </w:r>
      <w:proofErr w:type="spellEnd"/>
      <w:r w:rsidRPr="00472948">
        <w:rPr>
          <w:color w:val="000000"/>
          <w:sz w:val="22"/>
          <w:szCs w:val="22"/>
          <w:lang w:eastAsia="fr-FR"/>
        </w:rPr>
        <w:t> et TIDJANI Idriss Bola-</w:t>
      </w:r>
      <w:proofErr w:type="spellStart"/>
      <w:r w:rsidRPr="00472948">
        <w:rPr>
          <w:color w:val="000000"/>
          <w:sz w:val="22"/>
          <w:szCs w:val="22"/>
          <w:lang w:eastAsia="fr-FR"/>
        </w:rPr>
        <w:t>Nle</w:t>
      </w:r>
      <w:proofErr w:type="spellEnd"/>
      <w:r w:rsidRPr="00472948">
        <w:rPr>
          <w:color w:val="000000"/>
          <w:sz w:val="22"/>
          <w:szCs w:val="22"/>
          <w:lang w:eastAsia="fr-FR"/>
        </w:rPr>
        <w:t xml:space="preserve"> </w:t>
      </w:r>
      <w:proofErr w:type="spellStart"/>
      <w:r w:rsidRPr="00472948">
        <w:rPr>
          <w:color w:val="000000"/>
          <w:sz w:val="22"/>
          <w:szCs w:val="22"/>
          <w:lang w:eastAsia="fr-FR"/>
        </w:rPr>
        <w:t>Aremou</w:t>
      </w:r>
      <w:proofErr w:type="spellEnd"/>
      <w:r w:rsidRPr="00472948">
        <w:rPr>
          <w:color w:val="000000"/>
          <w:sz w:val="22"/>
          <w:szCs w:val="22"/>
          <w:lang w:eastAsia="fr-FR"/>
        </w:rPr>
        <w:t>, en flagrant délit de tentative de vente de quatre (04) pointes d’ivoire brut et seize (16) dents d’hippopotame et l’audience de délibérés de l’affaire   Ministère Public et Ministère des eaux et forêts contre les nommés SAWADOGO ALASANE et KEREDAOUDA et contre BOUASSE TRAORE et AYI MINTSA Guy</w:t>
      </w:r>
    </w:p>
    <w:p w14:paraId="1710FCD7" w14:textId="77777777" w:rsidR="00BC43E9" w:rsidRPr="00472948" w:rsidRDefault="00BC43E9" w:rsidP="00EE308B">
      <w:pPr>
        <w:jc w:val="both"/>
        <w:rPr>
          <w:color w:val="FF0000"/>
          <w:sz w:val="22"/>
          <w:szCs w:val="22"/>
          <w:lang w:eastAsia="fr-FR"/>
        </w:rPr>
      </w:pPr>
    </w:p>
    <w:p w14:paraId="01C08CF1" w14:textId="7FBE564E" w:rsidR="00B47160" w:rsidRPr="00472948" w:rsidRDefault="00EE308B" w:rsidP="00E0723F">
      <w:pPr>
        <w:jc w:val="both"/>
        <w:rPr>
          <w:sz w:val="22"/>
          <w:szCs w:val="22"/>
          <w:lang w:eastAsia="fr-FR"/>
        </w:rPr>
      </w:pPr>
      <w:r w:rsidRPr="00472948">
        <w:rPr>
          <w:b/>
          <w:sz w:val="22"/>
          <w:szCs w:val="22"/>
          <w:u w:val="single"/>
        </w:rPr>
        <w:t>Le 13 juillet 2020</w:t>
      </w:r>
      <w:r w:rsidRPr="00472948">
        <w:rPr>
          <w:sz w:val="22"/>
          <w:szCs w:val="22"/>
        </w:rPr>
        <w:t>, à Mouila</w:t>
      </w:r>
      <w:r w:rsidR="00F55B39">
        <w:rPr>
          <w:sz w:val="22"/>
          <w:szCs w:val="22"/>
        </w:rPr>
        <w:t xml:space="preserve"> </w:t>
      </w:r>
      <w:r w:rsidRPr="00472948">
        <w:rPr>
          <w:sz w:val="22"/>
          <w:szCs w:val="22"/>
        </w:rPr>
        <w:t xml:space="preserve">(Province de la Ngounié), a eu lieu une interpellation des nommés KOUMBA Jeanne, de nationalité Gabonaise, MONDJO </w:t>
      </w:r>
      <w:proofErr w:type="spellStart"/>
      <w:r w:rsidRPr="00472948">
        <w:rPr>
          <w:sz w:val="22"/>
          <w:szCs w:val="22"/>
        </w:rPr>
        <w:t>Golsman</w:t>
      </w:r>
      <w:proofErr w:type="spellEnd"/>
      <w:r w:rsidRPr="00472948">
        <w:rPr>
          <w:sz w:val="22"/>
          <w:szCs w:val="22"/>
        </w:rPr>
        <w:t>, sujet Gabonais et du Burkinabé ABDOULAYE GUETIKILA</w:t>
      </w:r>
      <w:r w:rsidRPr="00472948">
        <w:rPr>
          <w:sz w:val="22"/>
          <w:szCs w:val="22"/>
          <w:lang w:eastAsia="fr-FR"/>
        </w:rPr>
        <w:t xml:space="preserve">, en flagrant délit de tentative de vente de quatre (04) pointe d’ivoire brut d’éléphant. </w:t>
      </w:r>
    </w:p>
    <w:p w14:paraId="52EB9BF1" w14:textId="77777777" w:rsidR="00E0723F" w:rsidRPr="00472948" w:rsidRDefault="00E0723F" w:rsidP="00E0723F">
      <w:pPr>
        <w:jc w:val="both"/>
        <w:rPr>
          <w:color w:val="FF0000"/>
          <w:sz w:val="22"/>
          <w:szCs w:val="22"/>
          <w:lang w:eastAsia="fr-FR"/>
        </w:rPr>
      </w:pPr>
    </w:p>
    <w:p w14:paraId="33CA54B4" w14:textId="4401FD39" w:rsidR="00CD70F9" w:rsidRPr="00472948" w:rsidRDefault="00B47160" w:rsidP="00EE308B">
      <w:pPr>
        <w:spacing w:after="240"/>
        <w:jc w:val="both"/>
        <w:rPr>
          <w:sz w:val="22"/>
          <w:szCs w:val="22"/>
        </w:rPr>
      </w:pPr>
      <w:r w:rsidRPr="00472948">
        <w:rPr>
          <w:b/>
          <w:color w:val="000000"/>
          <w:sz w:val="22"/>
          <w:szCs w:val="22"/>
          <w:u w:val="single"/>
          <w:lang w:eastAsia="fr-FR"/>
        </w:rPr>
        <w:t>Le 17 juillet 2020</w:t>
      </w:r>
      <w:r w:rsidRPr="00472948">
        <w:rPr>
          <w:color w:val="000000"/>
          <w:sz w:val="22"/>
          <w:szCs w:val="22"/>
          <w:lang w:eastAsia="fr-FR"/>
        </w:rPr>
        <w:t>, à Libreville</w:t>
      </w:r>
      <w:r w:rsidR="004A6B47" w:rsidRPr="00472948">
        <w:rPr>
          <w:color w:val="000000"/>
          <w:sz w:val="22"/>
          <w:szCs w:val="22"/>
          <w:lang w:eastAsia="fr-FR"/>
        </w:rPr>
        <w:t xml:space="preserve"> </w:t>
      </w:r>
      <w:r w:rsidR="004A6B47" w:rsidRPr="00472948">
        <w:rPr>
          <w:sz w:val="22"/>
          <w:szCs w:val="22"/>
        </w:rPr>
        <w:t>(Province de l’Estuaire)</w:t>
      </w:r>
      <w:r w:rsidRPr="00472948">
        <w:rPr>
          <w:color w:val="000000"/>
          <w:sz w:val="22"/>
          <w:szCs w:val="22"/>
          <w:lang w:eastAsia="fr-FR"/>
        </w:rPr>
        <w:t xml:space="preserve">, il y a eu </w:t>
      </w:r>
      <w:r w:rsidR="00823DF1" w:rsidRPr="00472948">
        <w:rPr>
          <w:color w:val="000000"/>
          <w:sz w:val="22"/>
          <w:szCs w:val="22"/>
          <w:lang w:eastAsia="fr-FR"/>
        </w:rPr>
        <w:t xml:space="preserve">l’audience de délibérés de </w:t>
      </w:r>
      <w:r w:rsidRPr="00472948">
        <w:rPr>
          <w:color w:val="000000"/>
          <w:sz w:val="22"/>
          <w:szCs w:val="22"/>
          <w:lang w:eastAsia="fr-FR"/>
        </w:rPr>
        <w:t>l’affaire Ministère Public contre</w:t>
      </w:r>
      <w:r w:rsidRPr="00472948">
        <w:rPr>
          <w:color w:val="222222"/>
          <w:sz w:val="22"/>
          <w:szCs w:val="22"/>
        </w:rPr>
        <w:t xml:space="preserve"> MAYOMBO NDOUMA Georges poursuivi par le parquet de la République pour avoir </w:t>
      </w:r>
      <w:proofErr w:type="gramStart"/>
      <w:r w:rsidRPr="00472948">
        <w:rPr>
          <w:color w:val="222222"/>
          <w:sz w:val="22"/>
          <w:szCs w:val="22"/>
        </w:rPr>
        <w:t>chassé  une</w:t>
      </w:r>
      <w:proofErr w:type="gramEnd"/>
      <w:r w:rsidRPr="00472948">
        <w:rPr>
          <w:color w:val="222222"/>
          <w:sz w:val="22"/>
          <w:szCs w:val="22"/>
        </w:rPr>
        <w:t xml:space="preserve"> panthère ainsi que celle contre NTOUTOUME ABESSOLO Jean Jules poursuivi par le parquet de la République pour détention d’ivoire et détention illégale d’arme à feu.</w:t>
      </w:r>
      <w:r w:rsidR="00CD70F9" w:rsidRPr="00472948">
        <w:rPr>
          <w:sz w:val="22"/>
          <w:szCs w:val="22"/>
        </w:rPr>
        <w:t xml:space="preserve"> </w:t>
      </w:r>
    </w:p>
    <w:p w14:paraId="74205A4D" w14:textId="1B5C5C89" w:rsidR="00B16408" w:rsidRPr="00472948" w:rsidRDefault="00CD70F9" w:rsidP="00CD70F9">
      <w:pPr>
        <w:spacing w:after="240"/>
        <w:jc w:val="both"/>
        <w:rPr>
          <w:rStyle w:val="Accentuation"/>
          <w:i w:val="0"/>
          <w:iCs w:val="0"/>
          <w:color w:val="222222"/>
          <w:sz w:val="22"/>
          <w:szCs w:val="22"/>
        </w:rPr>
      </w:pPr>
      <w:r w:rsidRPr="00472948">
        <w:rPr>
          <w:sz w:val="22"/>
          <w:szCs w:val="22"/>
        </w:rPr>
        <w:t>Ces deux cas ont été initiés par les forces de l’ordre pour lesquelles AALF a renforcé le suivi juridique, sans pour autant avoir participé à ces arrestations.</w:t>
      </w:r>
    </w:p>
    <w:p w14:paraId="18351ECE" w14:textId="77777777" w:rsidR="000B7079" w:rsidRPr="00472948" w:rsidRDefault="000B7079" w:rsidP="000B7079">
      <w:pPr>
        <w:pStyle w:val="Titre1"/>
        <w:shd w:val="clear" w:color="auto" w:fill="000000" w:themeFill="text1"/>
        <w:rPr>
          <w:rStyle w:val="Accentuation"/>
          <w:i w:val="0"/>
          <w:sz w:val="22"/>
          <w:szCs w:val="22"/>
        </w:rPr>
      </w:pPr>
      <w:bookmarkStart w:id="2" w:name="_Toc7774927"/>
      <w:r w:rsidRPr="00472948">
        <w:rPr>
          <w:rStyle w:val="Accentuation"/>
          <w:sz w:val="22"/>
          <w:szCs w:val="22"/>
        </w:rPr>
        <w:t>Investigations</w:t>
      </w:r>
      <w:bookmarkEnd w:id="2"/>
    </w:p>
    <w:p w14:paraId="48EB8ECA" w14:textId="77777777" w:rsidR="000B7079" w:rsidRPr="00472948" w:rsidRDefault="000B7079" w:rsidP="000B7079">
      <w:pPr>
        <w:jc w:val="both"/>
        <w:rPr>
          <w:rStyle w:val="Accentuation"/>
          <w:i w:val="0"/>
          <w:sz w:val="22"/>
          <w:szCs w:val="22"/>
        </w:rPr>
      </w:pPr>
    </w:p>
    <w:p w14:paraId="0FD1BFF1" w14:textId="77777777" w:rsidR="000B7079" w:rsidRPr="00472948" w:rsidRDefault="000B7079" w:rsidP="000B7079">
      <w:pPr>
        <w:spacing w:after="240"/>
        <w:jc w:val="both"/>
        <w:rPr>
          <w:rStyle w:val="Accentuation"/>
          <w:i w:val="0"/>
          <w:sz w:val="22"/>
          <w:szCs w:val="22"/>
        </w:rPr>
      </w:pPr>
      <w:proofErr w:type="gramStart"/>
      <w:r w:rsidRPr="00472948">
        <w:rPr>
          <w:rStyle w:val="Accentuation"/>
          <w:sz w:val="22"/>
          <w:szCs w:val="22"/>
        </w:rPr>
        <w:t>Indicateur:</w:t>
      </w:r>
      <w:proofErr w:type="gramEnd"/>
    </w:p>
    <w:tbl>
      <w:tblPr>
        <w:tblStyle w:val="Grilledetableauclaire1"/>
        <w:tblW w:w="0" w:type="auto"/>
        <w:jc w:val="center"/>
        <w:tblLook w:val="04A0" w:firstRow="1" w:lastRow="0" w:firstColumn="1" w:lastColumn="0" w:noHBand="0" w:noVBand="1"/>
      </w:tblPr>
      <w:tblGrid>
        <w:gridCol w:w="4520"/>
        <w:gridCol w:w="4235"/>
      </w:tblGrid>
      <w:tr w:rsidR="000B7079" w:rsidRPr="00472948" w14:paraId="5C761AB5" w14:textId="77777777" w:rsidTr="000F4C8D">
        <w:trPr>
          <w:jc w:val="center"/>
        </w:trPr>
        <w:tc>
          <w:tcPr>
            <w:tcW w:w="4520" w:type="dxa"/>
          </w:tcPr>
          <w:p w14:paraId="7CBD2AE2" w14:textId="77777777" w:rsidR="000B7079" w:rsidRPr="00472948" w:rsidRDefault="000B7079" w:rsidP="000F4C8D">
            <w:pPr>
              <w:jc w:val="both"/>
              <w:rPr>
                <w:rStyle w:val="Accentuation"/>
                <w:i w:val="0"/>
                <w:sz w:val="22"/>
                <w:szCs w:val="22"/>
              </w:rPr>
            </w:pPr>
            <w:r w:rsidRPr="00472948">
              <w:rPr>
                <w:rStyle w:val="Accentuation"/>
                <w:sz w:val="22"/>
                <w:szCs w:val="22"/>
              </w:rPr>
              <w:t>Nombre d’investigations menées</w:t>
            </w:r>
          </w:p>
        </w:tc>
        <w:tc>
          <w:tcPr>
            <w:tcW w:w="4235" w:type="dxa"/>
          </w:tcPr>
          <w:p w14:paraId="002311FF" w14:textId="77777777" w:rsidR="000B7079" w:rsidRPr="00472948" w:rsidRDefault="00BC43E9" w:rsidP="000F4C8D">
            <w:pPr>
              <w:jc w:val="center"/>
              <w:rPr>
                <w:rStyle w:val="Accentuation"/>
                <w:i w:val="0"/>
                <w:sz w:val="22"/>
                <w:szCs w:val="22"/>
              </w:rPr>
            </w:pPr>
            <w:r w:rsidRPr="00472948">
              <w:rPr>
                <w:rStyle w:val="Accentuation"/>
                <w:sz w:val="22"/>
                <w:szCs w:val="22"/>
              </w:rPr>
              <w:t>32</w:t>
            </w:r>
          </w:p>
        </w:tc>
      </w:tr>
      <w:tr w:rsidR="000B7079" w:rsidRPr="00472948" w14:paraId="6FE84811" w14:textId="77777777" w:rsidTr="000F4C8D">
        <w:trPr>
          <w:jc w:val="center"/>
        </w:trPr>
        <w:tc>
          <w:tcPr>
            <w:tcW w:w="4520" w:type="dxa"/>
          </w:tcPr>
          <w:p w14:paraId="39EB7F00" w14:textId="77777777" w:rsidR="000B7079" w:rsidRPr="00472948" w:rsidRDefault="000B7079" w:rsidP="000F4C8D">
            <w:pPr>
              <w:jc w:val="both"/>
              <w:rPr>
                <w:rStyle w:val="Accentuation"/>
                <w:i w:val="0"/>
                <w:sz w:val="22"/>
                <w:szCs w:val="22"/>
              </w:rPr>
            </w:pPr>
            <w:r w:rsidRPr="00472948">
              <w:rPr>
                <w:rStyle w:val="Accentuation"/>
                <w:sz w:val="22"/>
                <w:szCs w:val="22"/>
              </w:rPr>
              <w:t>Investigations ayant mené à une opération</w:t>
            </w:r>
          </w:p>
        </w:tc>
        <w:tc>
          <w:tcPr>
            <w:tcW w:w="4235" w:type="dxa"/>
          </w:tcPr>
          <w:p w14:paraId="1A7404C9" w14:textId="77777777" w:rsidR="000B7079" w:rsidRPr="00472948" w:rsidRDefault="00A57371" w:rsidP="00BC43E9">
            <w:pPr>
              <w:jc w:val="center"/>
              <w:rPr>
                <w:rStyle w:val="Accentuation"/>
                <w:i w:val="0"/>
                <w:sz w:val="22"/>
                <w:szCs w:val="22"/>
              </w:rPr>
            </w:pPr>
            <w:r w:rsidRPr="00472948">
              <w:rPr>
                <w:rStyle w:val="Accentuation"/>
                <w:sz w:val="22"/>
                <w:szCs w:val="22"/>
              </w:rPr>
              <w:t>0</w:t>
            </w:r>
            <w:r w:rsidR="00BC43E9" w:rsidRPr="00472948">
              <w:rPr>
                <w:rStyle w:val="Accentuation"/>
                <w:sz w:val="22"/>
                <w:szCs w:val="22"/>
              </w:rPr>
              <w:t>2</w:t>
            </w:r>
          </w:p>
        </w:tc>
      </w:tr>
      <w:tr w:rsidR="000B7079" w:rsidRPr="00472948" w14:paraId="50BC4835" w14:textId="77777777" w:rsidTr="000F4C8D">
        <w:trPr>
          <w:jc w:val="center"/>
        </w:trPr>
        <w:tc>
          <w:tcPr>
            <w:tcW w:w="4520" w:type="dxa"/>
          </w:tcPr>
          <w:p w14:paraId="3D21A518" w14:textId="77777777" w:rsidR="000B7079" w:rsidRPr="00472948" w:rsidRDefault="000B7079" w:rsidP="000F4C8D">
            <w:pPr>
              <w:jc w:val="both"/>
              <w:rPr>
                <w:rStyle w:val="Accentuation"/>
                <w:i w:val="0"/>
                <w:sz w:val="22"/>
                <w:szCs w:val="22"/>
              </w:rPr>
            </w:pPr>
            <w:r w:rsidRPr="00472948">
              <w:rPr>
                <w:rStyle w:val="Accentuation"/>
                <w:sz w:val="22"/>
                <w:szCs w:val="22"/>
              </w:rPr>
              <w:t>Nombre de trafiquants identifiés</w:t>
            </w:r>
          </w:p>
        </w:tc>
        <w:tc>
          <w:tcPr>
            <w:tcW w:w="4235" w:type="dxa"/>
          </w:tcPr>
          <w:p w14:paraId="4EC7595E" w14:textId="77777777" w:rsidR="000B7079" w:rsidRPr="00472948" w:rsidRDefault="00723854" w:rsidP="000F4C8D">
            <w:pPr>
              <w:jc w:val="center"/>
              <w:rPr>
                <w:rStyle w:val="Accentuation"/>
                <w:i w:val="0"/>
                <w:sz w:val="22"/>
                <w:szCs w:val="22"/>
              </w:rPr>
            </w:pPr>
            <w:r w:rsidRPr="00472948">
              <w:rPr>
                <w:rStyle w:val="Accentuation"/>
                <w:sz w:val="22"/>
                <w:szCs w:val="22"/>
              </w:rPr>
              <w:t>3</w:t>
            </w:r>
            <w:r w:rsidR="00BC43E9" w:rsidRPr="00472948">
              <w:rPr>
                <w:rStyle w:val="Accentuation"/>
                <w:sz w:val="22"/>
                <w:szCs w:val="22"/>
              </w:rPr>
              <w:t>6</w:t>
            </w:r>
          </w:p>
        </w:tc>
      </w:tr>
    </w:tbl>
    <w:p w14:paraId="622B0A05" w14:textId="77777777" w:rsidR="001D4336" w:rsidRPr="00472948" w:rsidRDefault="001D4336" w:rsidP="001D4336">
      <w:pPr>
        <w:tabs>
          <w:tab w:val="left" w:pos="5590"/>
        </w:tabs>
        <w:jc w:val="both"/>
        <w:rPr>
          <w:iCs/>
          <w:color w:val="FF0000"/>
          <w:sz w:val="22"/>
          <w:szCs w:val="22"/>
        </w:rPr>
      </w:pPr>
      <w:bookmarkStart w:id="3" w:name="_Toc7774928"/>
    </w:p>
    <w:p w14:paraId="282C49D2" w14:textId="77777777" w:rsidR="00BC43E9" w:rsidRPr="00472948" w:rsidRDefault="00BC43E9" w:rsidP="00BC43E9">
      <w:pPr>
        <w:jc w:val="both"/>
        <w:rPr>
          <w:sz w:val="22"/>
          <w:szCs w:val="22"/>
        </w:rPr>
      </w:pPr>
      <w:r w:rsidRPr="00472948">
        <w:rPr>
          <w:sz w:val="22"/>
          <w:szCs w:val="22"/>
        </w:rPr>
        <w:t xml:space="preserve">Au total, </w:t>
      </w:r>
      <w:r w:rsidRPr="00472948">
        <w:rPr>
          <w:b/>
          <w:sz w:val="22"/>
          <w:szCs w:val="22"/>
        </w:rPr>
        <w:t>32</w:t>
      </w:r>
      <w:r w:rsidRPr="00472948">
        <w:rPr>
          <w:sz w:val="22"/>
          <w:szCs w:val="22"/>
        </w:rPr>
        <w:t xml:space="preserve"> missions d’investigations ont été organisées à travers la province de la Nyanga, de la Ngounié et </w:t>
      </w:r>
      <w:r w:rsidR="00D95ED3">
        <w:rPr>
          <w:sz w:val="22"/>
          <w:szCs w:val="22"/>
        </w:rPr>
        <w:t xml:space="preserve">de </w:t>
      </w:r>
      <w:r w:rsidRPr="00472948">
        <w:rPr>
          <w:sz w:val="22"/>
          <w:szCs w:val="22"/>
        </w:rPr>
        <w:t xml:space="preserve">l’Estuaire avec </w:t>
      </w:r>
      <w:r w:rsidRPr="00472948">
        <w:rPr>
          <w:b/>
          <w:sz w:val="22"/>
          <w:szCs w:val="22"/>
        </w:rPr>
        <w:t>36</w:t>
      </w:r>
      <w:r w:rsidRPr="00472948">
        <w:rPr>
          <w:sz w:val="22"/>
          <w:szCs w:val="22"/>
        </w:rPr>
        <w:t xml:space="preserve"> trafiquants et braconniers majeurs identifiés.</w:t>
      </w:r>
    </w:p>
    <w:p w14:paraId="4618B543" w14:textId="77777777" w:rsidR="00723854" w:rsidRPr="00472948" w:rsidRDefault="00723854" w:rsidP="00723854">
      <w:pPr>
        <w:jc w:val="both"/>
        <w:rPr>
          <w:b/>
          <w:color w:val="0070C0"/>
          <w:sz w:val="22"/>
          <w:szCs w:val="22"/>
        </w:rPr>
      </w:pPr>
    </w:p>
    <w:p w14:paraId="3CEE991E" w14:textId="77777777" w:rsidR="000B7079" w:rsidRPr="00472948" w:rsidRDefault="000B7079" w:rsidP="000B7079">
      <w:pPr>
        <w:pStyle w:val="Titre1"/>
        <w:shd w:val="clear" w:color="auto" w:fill="000000" w:themeFill="text1"/>
        <w:rPr>
          <w:rStyle w:val="Accentuation"/>
          <w:i w:val="0"/>
          <w:sz w:val="22"/>
          <w:szCs w:val="22"/>
        </w:rPr>
      </w:pPr>
      <w:r w:rsidRPr="00472948">
        <w:rPr>
          <w:rStyle w:val="Accentuation"/>
          <w:sz w:val="22"/>
          <w:szCs w:val="22"/>
        </w:rPr>
        <w:t>Opérations</w:t>
      </w:r>
      <w:bookmarkEnd w:id="3"/>
    </w:p>
    <w:p w14:paraId="2874DC35" w14:textId="77777777" w:rsidR="000B7079" w:rsidRPr="00472948" w:rsidRDefault="000B7079" w:rsidP="000B7079">
      <w:pPr>
        <w:jc w:val="both"/>
        <w:rPr>
          <w:rStyle w:val="Accentuation"/>
          <w:i w:val="0"/>
          <w:color w:val="FF0000"/>
          <w:sz w:val="22"/>
          <w:szCs w:val="22"/>
        </w:rPr>
      </w:pPr>
    </w:p>
    <w:p w14:paraId="26309B99" w14:textId="77777777" w:rsidR="000B7079" w:rsidRPr="00472948" w:rsidRDefault="000B7079" w:rsidP="000B7079">
      <w:pPr>
        <w:spacing w:after="240"/>
        <w:jc w:val="both"/>
        <w:rPr>
          <w:rStyle w:val="Accentuation"/>
          <w:i w:val="0"/>
          <w:sz w:val="22"/>
          <w:szCs w:val="22"/>
        </w:rPr>
      </w:pPr>
      <w:proofErr w:type="gramStart"/>
      <w:r w:rsidRPr="00472948">
        <w:rPr>
          <w:rStyle w:val="Accentuation"/>
          <w:sz w:val="22"/>
          <w:szCs w:val="22"/>
        </w:rPr>
        <w:t>Indicateur:</w:t>
      </w:r>
      <w:proofErr w:type="gramEnd"/>
    </w:p>
    <w:tbl>
      <w:tblPr>
        <w:tblStyle w:val="Grilledetableauclaire1"/>
        <w:tblW w:w="8777" w:type="dxa"/>
        <w:jc w:val="center"/>
        <w:tblLook w:val="04A0" w:firstRow="1" w:lastRow="0" w:firstColumn="1" w:lastColumn="0" w:noHBand="0" w:noVBand="1"/>
      </w:tblPr>
      <w:tblGrid>
        <w:gridCol w:w="4561"/>
        <w:gridCol w:w="4216"/>
      </w:tblGrid>
      <w:tr w:rsidR="000B7079" w:rsidRPr="00472948" w14:paraId="728C94A7" w14:textId="77777777" w:rsidTr="000F4C8D">
        <w:trPr>
          <w:trHeight w:val="283"/>
          <w:jc w:val="center"/>
        </w:trPr>
        <w:tc>
          <w:tcPr>
            <w:tcW w:w="4561" w:type="dxa"/>
          </w:tcPr>
          <w:p w14:paraId="31CDF4DB" w14:textId="77777777" w:rsidR="000B7079" w:rsidRPr="00472948" w:rsidRDefault="000B7079" w:rsidP="000F4C8D">
            <w:pPr>
              <w:jc w:val="both"/>
              <w:rPr>
                <w:rStyle w:val="Accentuation"/>
                <w:i w:val="0"/>
                <w:sz w:val="22"/>
                <w:szCs w:val="22"/>
              </w:rPr>
            </w:pPr>
            <w:r w:rsidRPr="00472948">
              <w:rPr>
                <w:rStyle w:val="Accentuation"/>
                <w:sz w:val="22"/>
                <w:szCs w:val="22"/>
              </w:rPr>
              <w:t>Nombre d’opérations menées</w:t>
            </w:r>
          </w:p>
        </w:tc>
        <w:tc>
          <w:tcPr>
            <w:tcW w:w="4216" w:type="dxa"/>
          </w:tcPr>
          <w:p w14:paraId="453738D8" w14:textId="77777777" w:rsidR="000B7079" w:rsidRPr="00472948" w:rsidRDefault="005D756A" w:rsidP="000F4C8D">
            <w:pPr>
              <w:jc w:val="center"/>
              <w:rPr>
                <w:rStyle w:val="Accentuation"/>
                <w:i w:val="0"/>
                <w:sz w:val="22"/>
                <w:szCs w:val="22"/>
              </w:rPr>
            </w:pPr>
            <w:r w:rsidRPr="00472948">
              <w:rPr>
                <w:rStyle w:val="Accentuation"/>
                <w:sz w:val="22"/>
                <w:szCs w:val="22"/>
              </w:rPr>
              <w:t>0</w:t>
            </w:r>
            <w:r w:rsidR="00BC43E9" w:rsidRPr="00472948">
              <w:rPr>
                <w:rStyle w:val="Accentuation"/>
                <w:sz w:val="22"/>
                <w:szCs w:val="22"/>
              </w:rPr>
              <w:t>2</w:t>
            </w:r>
          </w:p>
        </w:tc>
      </w:tr>
      <w:tr w:rsidR="000B7079" w:rsidRPr="00472948" w14:paraId="4810F0E7" w14:textId="77777777" w:rsidTr="000F4C8D">
        <w:trPr>
          <w:trHeight w:val="283"/>
          <w:jc w:val="center"/>
        </w:trPr>
        <w:tc>
          <w:tcPr>
            <w:tcW w:w="4561" w:type="dxa"/>
          </w:tcPr>
          <w:p w14:paraId="162FB0DF" w14:textId="77777777" w:rsidR="000B7079" w:rsidRPr="00472948" w:rsidRDefault="000B7079" w:rsidP="000F4C8D">
            <w:pPr>
              <w:jc w:val="both"/>
              <w:rPr>
                <w:rStyle w:val="Accentuation"/>
                <w:i w:val="0"/>
                <w:sz w:val="22"/>
                <w:szCs w:val="22"/>
              </w:rPr>
            </w:pPr>
            <w:r w:rsidRPr="00472948">
              <w:rPr>
                <w:rStyle w:val="Accentuation"/>
                <w:sz w:val="22"/>
                <w:szCs w:val="22"/>
              </w:rPr>
              <w:t>Nombre de trafiquants arrêtés</w:t>
            </w:r>
          </w:p>
        </w:tc>
        <w:tc>
          <w:tcPr>
            <w:tcW w:w="4216" w:type="dxa"/>
          </w:tcPr>
          <w:p w14:paraId="3EA12B8F" w14:textId="77777777" w:rsidR="000B7079" w:rsidRPr="00472948" w:rsidRDefault="00CC493E" w:rsidP="00CC493E">
            <w:pPr>
              <w:jc w:val="center"/>
              <w:rPr>
                <w:rStyle w:val="Accentuation"/>
                <w:i w:val="0"/>
                <w:sz w:val="22"/>
                <w:szCs w:val="22"/>
              </w:rPr>
            </w:pPr>
            <w:r w:rsidRPr="00472948">
              <w:rPr>
                <w:rStyle w:val="Accentuation"/>
                <w:sz w:val="22"/>
                <w:szCs w:val="22"/>
              </w:rPr>
              <w:t>0</w:t>
            </w:r>
            <w:r w:rsidR="00BC43E9" w:rsidRPr="00472948">
              <w:rPr>
                <w:rStyle w:val="Accentuation"/>
                <w:sz w:val="22"/>
                <w:szCs w:val="22"/>
              </w:rPr>
              <w:t>5</w:t>
            </w:r>
          </w:p>
        </w:tc>
      </w:tr>
    </w:tbl>
    <w:p w14:paraId="4CF6B398" w14:textId="77777777" w:rsidR="00B54325" w:rsidRPr="00472948" w:rsidRDefault="00B54325" w:rsidP="00B54325">
      <w:pPr>
        <w:jc w:val="both"/>
        <w:rPr>
          <w:rStyle w:val="Accentuation"/>
          <w:i w:val="0"/>
          <w:iCs w:val="0"/>
          <w:sz w:val="22"/>
          <w:szCs w:val="22"/>
          <w:lang w:val="fr-BE"/>
        </w:rPr>
      </w:pPr>
    </w:p>
    <w:p w14:paraId="2F54BAB7" w14:textId="748E3323" w:rsidR="009524A5" w:rsidRPr="00472948" w:rsidRDefault="00B54325" w:rsidP="009524A5">
      <w:pPr>
        <w:jc w:val="both"/>
        <w:rPr>
          <w:sz w:val="22"/>
          <w:szCs w:val="22"/>
        </w:rPr>
      </w:pPr>
      <w:r w:rsidRPr="00567C4B">
        <w:rPr>
          <w:rStyle w:val="Accentuation"/>
          <w:i w:val="0"/>
          <w:iCs w:val="0"/>
          <w:sz w:val="22"/>
          <w:szCs w:val="22"/>
          <w:lang w:val="fr-BE"/>
        </w:rPr>
        <w:t xml:space="preserve">Pour ce mois de juillet 2020, le projet AALF a enregistré deux opérations </w:t>
      </w:r>
      <w:r w:rsidR="009524A5" w:rsidRPr="00567C4B">
        <w:rPr>
          <w:rStyle w:val="Accentuation"/>
          <w:i w:val="0"/>
          <w:sz w:val="22"/>
          <w:szCs w:val="22"/>
          <w:lang w:val="fr-BE"/>
        </w:rPr>
        <w:t xml:space="preserve">ayant conduit à l’arrestation de </w:t>
      </w:r>
      <w:r w:rsidR="009524A5" w:rsidRPr="00567C4B">
        <w:rPr>
          <w:i/>
          <w:sz w:val="22"/>
          <w:szCs w:val="22"/>
        </w:rPr>
        <w:t>cinq</w:t>
      </w:r>
      <w:r w:rsidR="009524A5" w:rsidRPr="00567C4B">
        <w:rPr>
          <w:rStyle w:val="Accentuation"/>
          <w:i w:val="0"/>
          <w:sz w:val="22"/>
          <w:szCs w:val="22"/>
          <w:lang w:val="fr-BE"/>
        </w:rPr>
        <w:t xml:space="preserve"> (05) </w:t>
      </w:r>
      <w:r w:rsidR="009524A5" w:rsidRPr="00567C4B">
        <w:rPr>
          <w:i/>
          <w:sz w:val="22"/>
          <w:szCs w:val="22"/>
        </w:rPr>
        <w:t>personnes impliquées dans le trafic d’ivoire et dent</w:t>
      </w:r>
      <w:r w:rsidR="00B84E9C" w:rsidRPr="00567C4B">
        <w:rPr>
          <w:i/>
          <w:sz w:val="22"/>
          <w:szCs w:val="22"/>
        </w:rPr>
        <w:t>s</w:t>
      </w:r>
      <w:r w:rsidR="009524A5" w:rsidRPr="00567C4B">
        <w:rPr>
          <w:i/>
          <w:sz w:val="22"/>
          <w:szCs w:val="22"/>
        </w:rPr>
        <w:t xml:space="preserve"> d’hippopotame</w:t>
      </w:r>
      <w:r w:rsidR="009524A5" w:rsidRPr="00567C4B">
        <w:rPr>
          <w:rStyle w:val="Accentuation"/>
          <w:i w:val="0"/>
          <w:sz w:val="22"/>
          <w:szCs w:val="22"/>
          <w:lang w:val="fr-BE"/>
        </w:rPr>
        <w:t xml:space="preserve">, </w:t>
      </w:r>
      <w:r w:rsidR="009524A5" w:rsidRPr="00567C4B">
        <w:rPr>
          <w:i/>
          <w:sz w:val="22"/>
          <w:szCs w:val="22"/>
        </w:rPr>
        <w:t xml:space="preserve">avec une </w:t>
      </w:r>
      <w:r w:rsidR="009524A5" w:rsidRPr="00567C4B">
        <w:rPr>
          <w:i/>
          <w:sz w:val="22"/>
          <w:szCs w:val="22"/>
          <w:lang w:val="fr-BE"/>
        </w:rPr>
        <w:t>saisie</w:t>
      </w:r>
      <w:r w:rsidR="009524A5" w:rsidRPr="00567C4B">
        <w:rPr>
          <w:i/>
          <w:sz w:val="22"/>
          <w:szCs w:val="22"/>
        </w:rPr>
        <w:t xml:space="preserve"> totale de huit (8) pointes </w:t>
      </w:r>
      <w:r w:rsidR="009524A5" w:rsidRPr="00567C4B">
        <w:rPr>
          <w:i/>
          <w:sz w:val="22"/>
          <w:szCs w:val="22"/>
          <w:lang w:val="fr-BE"/>
        </w:rPr>
        <w:t>d’ivoire</w:t>
      </w:r>
      <w:r w:rsidR="009524A5" w:rsidRPr="00567C4B">
        <w:rPr>
          <w:i/>
          <w:sz w:val="22"/>
          <w:szCs w:val="22"/>
        </w:rPr>
        <w:t xml:space="preserve"> brut d’une masse totale 20,4kgs et 16 dents d’hippopotame</w:t>
      </w:r>
      <w:r w:rsidR="009524A5" w:rsidRPr="00472948">
        <w:rPr>
          <w:sz w:val="22"/>
          <w:szCs w:val="22"/>
        </w:rPr>
        <w:t>.</w:t>
      </w:r>
    </w:p>
    <w:p w14:paraId="608BD8EB" w14:textId="77777777" w:rsidR="008A5C40" w:rsidRPr="00472948" w:rsidRDefault="008A5C40" w:rsidP="009524A5">
      <w:pPr>
        <w:jc w:val="both"/>
        <w:rPr>
          <w:sz w:val="22"/>
          <w:szCs w:val="22"/>
        </w:rPr>
      </w:pPr>
    </w:p>
    <w:p w14:paraId="700D926C" w14:textId="05206BDA" w:rsidR="001C4F12" w:rsidRPr="00472948" w:rsidRDefault="00B84E9C" w:rsidP="001C4F12">
      <w:pPr>
        <w:jc w:val="both"/>
        <w:rPr>
          <w:color w:val="000000"/>
          <w:sz w:val="22"/>
          <w:szCs w:val="22"/>
          <w:lang w:eastAsia="fr-FR"/>
        </w:rPr>
      </w:pPr>
      <w:r w:rsidRPr="00472948">
        <w:rPr>
          <w:b/>
          <w:sz w:val="22"/>
          <w:szCs w:val="22"/>
        </w:rPr>
        <w:lastRenderedPageBreak/>
        <w:t>L</w:t>
      </w:r>
      <w:r w:rsidRPr="00472948">
        <w:rPr>
          <w:b/>
          <w:sz w:val="22"/>
          <w:szCs w:val="22"/>
          <w:u w:val="single"/>
        </w:rPr>
        <w:t>e</w:t>
      </w:r>
      <w:r w:rsidRPr="00472948">
        <w:rPr>
          <w:sz w:val="22"/>
          <w:szCs w:val="22"/>
          <w:u w:val="single"/>
        </w:rPr>
        <w:t xml:space="preserve"> </w:t>
      </w:r>
      <w:r w:rsidRPr="00472948">
        <w:rPr>
          <w:b/>
          <w:bCs/>
          <w:sz w:val="22"/>
          <w:szCs w:val="22"/>
          <w:u w:val="single"/>
        </w:rPr>
        <w:t>10 juillet 202</w:t>
      </w:r>
      <w:r w:rsidRPr="00472948">
        <w:rPr>
          <w:b/>
          <w:bCs/>
          <w:sz w:val="22"/>
          <w:szCs w:val="22"/>
        </w:rPr>
        <w:t xml:space="preserve">0 </w:t>
      </w:r>
      <w:r w:rsidRPr="00472948">
        <w:rPr>
          <w:sz w:val="22"/>
          <w:szCs w:val="22"/>
        </w:rPr>
        <w:t xml:space="preserve">à Tchibanga (Province de la Nyanga), les nommés </w:t>
      </w:r>
      <w:r w:rsidRPr="00472948">
        <w:rPr>
          <w:color w:val="000000"/>
          <w:sz w:val="22"/>
          <w:szCs w:val="22"/>
          <w:lang w:eastAsia="fr-FR"/>
        </w:rPr>
        <w:t xml:space="preserve">MAKAYA Jean </w:t>
      </w:r>
      <w:proofErr w:type="spellStart"/>
      <w:r w:rsidRPr="00472948">
        <w:rPr>
          <w:color w:val="000000"/>
          <w:sz w:val="22"/>
          <w:szCs w:val="22"/>
          <w:lang w:eastAsia="fr-FR"/>
        </w:rPr>
        <w:t>Almend</w:t>
      </w:r>
      <w:proofErr w:type="spellEnd"/>
      <w:r w:rsidRPr="00472948">
        <w:rPr>
          <w:color w:val="000000"/>
          <w:sz w:val="22"/>
          <w:szCs w:val="22"/>
          <w:lang w:eastAsia="fr-FR"/>
        </w:rPr>
        <w:t>, de nationalité gabonaise et TIDJANI Idriss Bola-</w:t>
      </w:r>
      <w:proofErr w:type="spellStart"/>
      <w:r w:rsidRPr="00472948">
        <w:rPr>
          <w:color w:val="000000"/>
          <w:sz w:val="22"/>
          <w:szCs w:val="22"/>
          <w:lang w:eastAsia="fr-FR"/>
        </w:rPr>
        <w:t>Nle</w:t>
      </w:r>
      <w:proofErr w:type="spellEnd"/>
      <w:r w:rsidRPr="00472948">
        <w:rPr>
          <w:color w:val="000000"/>
          <w:sz w:val="22"/>
          <w:szCs w:val="22"/>
          <w:lang w:eastAsia="fr-FR"/>
        </w:rPr>
        <w:t xml:space="preserve"> </w:t>
      </w:r>
      <w:proofErr w:type="spellStart"/>
      <w:r w:rsidRPr="00472948">
        <w:rPr>
          <w:color w:val="000000"/>
          <w:sz w:val="22"/>
          <w:szCs w:val="22"/>
          <w:lang w:eastAsia="fr-FR"/>
        </w:rPr>
        <w:t>Aremou</w:t>
      </w:r>
      <w:proofErr w:type="spellEnd"/>
      <w:r w:rsidRPr="00472948">
        <w:rPr>
          <w:color w:val="000000"/>
          <w:sz w:val="22"/>
          <w:szCs w:val="22"/>
          <w:lang w:eastAsia="fr-FR"/>
        </w:rPr>
        <w:t xml:space="preserve">, sujet </w:t>
      </w:r>
      <w:proofErr w:type="spellStart"/>
      <w:r w:rsidRPr="00472948">
        <w:rPr>
          <w:color w:val="000000"/>
          <w:sz w:val="22"/>
          <w:szCs w:val="22"/>
          <w:lang w:eastAsia="fr-FR"/>
        </w:rPr>
        <w:t>Beninois</w:t>
      </w:r>
      <w:proofErr w:type="spellEnd"/>
      <w:r w:rsidRPr="00472948">
        <w:rPr>
          <w:color w:val="000000"/>
          <w:sz w:val="22"/>
          <w:szCs w:val="22"/>
          <w:lang w:eastAsia="fr-FR"/>
        </w:rPr>
        <w:t>, ont été pri</w:t>
      </w:r>
      <w:r w:rsidR="00F55B39">
        <w:rPr>
          <w:color w:val="000000"/>
          <w:sz w:val="22"/>
          <w:szCs w:val="22"/>
          <w:lang w:eastAsia="fr-FR"/>
        </w:rPr>
        <w:t>s</w:t>
      </w:r>
      <w:r w:rsidRPr="00472948">
        <w:rPr>
          <w:color w:val="000000"/>
          <w:sz w:val="22"/>
          <w:szCs w:val="22"/>
          <w:lang w:eastAsia="fr-FR"/>
        </w:rPr>
        <w:t xml:space="preserve"> en flagrant délit de tentative de vente de quatre (04) pointe</w:t>
      </w:r>
      <w:r w:rsidR="005F477B">
        <w:rPr>
          <w:color w:val="000000"/>
          <w:sz w:val="22"/>
          <w:szCs w:val="22"/>
          <w:lang w:eastAsia="fr-FR"/>
        </w:rPr>
        <w:t>s</w:t>
      </w:r>
      <w:r w:rsidRPr="00472948">
        <w:rPr>
          <w:color w:val="000000"/>
          <w:sz w:val="22"/>
          <w:szCs w:val="22"/>
          <w:lang w:eastAsia="fr-FR"/>
        </w:rPr>
        <w:t xml:space="preserve"> d’ivoire brut d’éléphant d’une masse total de 4,4 kg et seize (16) dents d’hippopotame. </w:t>
      </w:r>
      <w:r w:rsidR="007D02C5" w:rsidRPr="00472948">
        <w:rPr>
          <w:sz w:val="22"/>
          <w:szCs w:val="22"/>
        </w:rPr>
        <w:t>Cette opération a été réalisée par une équipe d'agents</w:t>
      </w:r>
      <w:r w:rsidR="007D02C5" w:rsidRPr="00472948">
        <w:rPr>
          <w:color w:val="000000"/>
          <w:sz w:val="22"/>
          <w:szCs w:val="22"/>
          <w:lang w:eastAsia="fr-FR"/>
        </w:rPr>
        <w:t xml:space="preserve"> </w:t>
      </w:r>
      <w:r w:rsidRPr="00472948">
        <w:rPr>
          <w:color w:val="000000"/>
          <w:sz w:val="22"/>
          <w:szCs w:val="22"/>
          <w:lang w:eastAsia="fr-FR"/>
        </w:rPr>
        <w:t>de la</w:t>
      </w:r>
      <w:r w:rsidR="00567C4B">
        <w:rPr>
          <w:color w:val="000000"/>
          <w:sz w:val="22"/>
          <w:szCs w:val="22"/>
          <w:lang w:eastAsia="fr-FR"/>
        </w:rPr>
        <w:t xml:space="preserve"> police judiciaire et des Eaux et Forêts de Tchibanga</w:t>
      </w:r>
      <w:r w:rsidR="005F477B">
        <w:rPr>
          <w:color w:val="000000"/>
          <w:sz w:val="22"/>
          <w:szCs w:val="22"/>
          <w:lang w:eastAsia="fr-FR"/>
        </w:rPr>
        <w:t>,</w:t>
      </w:r>
      <w:r w:rsidR="00567C4B">
        <w:rPr>
          <w:color w:val="000000"/>
          <w:sz w:val="22"/>
          <w:szCs w:val="22"/>
          <w:lang w:eastAsia="fr-FR"/>
        </w:rPr>
        <w:t xml:space="preserve"> assistée</w:t>
      </w:r>
      <w:r w:rsidRPr="00472948">
        <w:rPr>
          <w:color w:val="000000"/>
          <w:sz w:val="22"/>
          <w:szCs w:val="22"/>
          <w:lang w:eastAsia="fr-FR"/>
        </w:rPr>
        <w:t xml:space="preserve"> de l’ONG Conservation Justice.</w:t>
      </w:r>
      <w:r w:rsidR="007D02C5" w:rsidRPr="00472948">
        <w:rPr>
          <w:color w:val="000000"/>
          <w:sz w:val="22"/>
          <w:szCs w:val="22"/>
          <w:lang w:eastAsia="fr-FR"/>
        </w:rPr>
        <w:t xml:space="preserve"> </w:t>
      </w:r>
      <w:r w:rsidRPr="00472948">
        <w:rPr>
          <w:sz w:val="22"/>
          <w:szCs w:val="22"/>
        </w:rPr>
        <w:t>Le</w:t>
      </w:r>
      <w:r w:rsidR="007D02C5" w:rsidRPr="00472948">
        <w:rPr>
          <w:sz w:val="22"/>
          <w:szCs w:val="22"/>
        </w:rPr>
        <w:t>s</w:t>
      </w:r>
      <w:r w:rsidRPr="00472948">
        <w:rPr>
          <w:sz w:val="22"/>
          <w:szCs w:val="22"/>
        </w:rPr>
        <w:t xml:space="preserve"> présumé</w:t>
      </w:r>
      <w:r w:rsidR="007D02C5" w:rsidRPr="00472948">
        <w:rPr>
          <w:sz w:val="22"/>
          <w:szCs w:val="22"/>
        </w:rPr>
        <w:t>s</w:t>
      </w:r>
      <w:r w:rsidRPr="00472948">
        <w:rPr>
          <w:sz w:val="22"/>
          <w:szCs w:val="22"/>
        </w:rPr>
        <w:t xml:space="preserve"> trafiquant</w:t>
      </w:r>
      <w:r w:rsidR="007D02C5" w:rsidRPr="00472948">
        <w:rPr>
          <w:sz w:val="22"/>
          <w:szCs w:val="22"/>
        </w:rPr>
        <w:t>s</w:t>
      </w:r>
      <w:r w:rsidR="007D02C5" w:rsidRPr="00472948">
        <w:rPr>
          <w:rFonts w:eastAsiaTheme="minorHAnsi"/>
          <w:sz w:val="22"/>
          <w:szCs w:val="22"/>
        </w:rPr>
        <w:t xml:space="preserve"> ont</w:t>
      </w:r>
      <w:r w:rsidRPr="00472948">
        <w:rPr>
          <w:rFonts w:eastAsiaTheme="minorHAnsi"/>
          <w:sz w:val="22"/>
          <w:szCs w:val="22"/>
        </w:rPr>
        <w:t xml:space="preserve"> été transféré</w:t>
      </w:r>
      <w:r w:rsidR="007D02C5" w:rsidRPr="00472948">
        <w:rPr>
          <w:rFonts w:eastAsiaTheme="minorHAnsi"/>
          <w:sz w:val="22"/>
          <w:szCs w:val="22"/>
        </w:rPr>
        <w:t>s</w:t>
      </w:r>
      <w:r w:rsidRPr="00472948">
        <w:rPr>
          <w:rFonts w:eastAsiaTheme="minorHAnsi"/>
          <w:sz w:val="22"/>
          <w:szCs w:val="22"/>
        </w:rPr>
        <w:t xml:space="preserve"> le </w:t>
      </w:r>
      <w:r w:rsidR="007D02C5" w:rsidRPr="00472948">
        <w:rPr>
          <w:rFonts w:eastAsiaTheme="minorHAnsi"/>
          <w:sz w:val="22"/>
          <w:szCs w:val="22"/>
        </w:rPr>
        <w:t xml:space="preserve">16 juillet </w:t>
      </w:r>
      <w:r w:rsidRPr="00472948">
        <w:rPr>
          <w:rFonts w:eastAsiaTheme="minorHAnsi"/>
          <w:sz w:val="22"/>
          <w:szCs w:val="22"/>
        </w:rPr>
        <w:t>2020 sur Libreville pour être présenté</w:t>
      </w:r>
      <w:r w:rsidR="005F477B">
        <w:rPr>
          <w:rFonts w:eastAsiaTheme="minorHAnsi"/>
          <w:sz w:val="22"/>
          <w:szCs w:val="22"/>
        </w:rPr>
        <w:t>s</w:t>
      </w:r>
      <w:r w:rsidRPr="00472948">
        <w:rPr>
          <w:rFonts w:eastAsiaTheme="minorHAnsi"/>
          <w:sz w:val="22"/>
          <w:szCs w:val="22"/>
        </w:rPr>
        <w:t xml:space="preserve"> </w:t>
      </w:r>
      <w:r w:rsidR="007D02C5" w:rsidRPr="00472948">
        <w:rPr>
          <w:sz w:val="22"/>
          <w:szCs w:val="22"/>
        </w:rPr>
        <w:t>devant le Procureur de la formation spécialisée du Tribunal de Première Instance de Libreville</w:t>
      </w:r>
      <w:r w:rsidR="00304D2E" w:rsidRPr="00472948">
        <w:rPr>
          <w:sz w:val="22"/>
          <w:szCs w:val="22"/>
        </w:rPr>
        <w:t>. Actuellement,</w:t>
      </w:r>
      <w:r w:rsidR="007D02C5" w:rsidRPr="00472948">
        <w:rPr>
          <w:color w:val="000000"/>
          <w:sz w:val="22"/>
          <w:szCs w:val="22"/>
          <w:lang w:val="fr-BE" w:eastAsia="fr-FR"/>
        </w:rPr>
        <w:t xml:space="preserve"> </w:t>
      </w:r>
      <w:r w:rsidR="00304D2E" w:rsidRPr="00472948">
        <w:rPr>
          <w:rStyle w:val="Accentuation"/>
          <w:i w:val="0"/>
          <w:iCs w:val="0"/>
          <w:sz w:val="22"/>
          <w:szCs w:val="22"/>
          <w:lang w:val="fr-BE"/>
        </w:rPr>
        <w:t xml:space="preserve">ils sont détenus à la maison d’arrêt de Libreville en attendant </w:t>
      </w:r>
      <w:r w:rsidR="001C4F12" w:rsidRPr="00472948">
        <w:rPr>
          <w:rStyle w:val="Accentuation"/>
          <w:i w:val="0"/>
          <w:iCs w:val="0"/>
          <w:sz w:val="22"/>
          <w:szCs w:val="22"/>
          <w:lang w:val="fr-BE"/>
        </w:rPr>
        <w:t>l’audience de</w:t>
      </w:r>
      <w:r w:rsidR="00304D2E" w:rsidRPr="00472948">
        <w:rPr>
          <w:rStyle w:val="Accentuation"/>
          <w:i w:val="0"/>
          <w:iCs w:val="0"/>
          <w:sz w:val="22"/>
          <w:szCs w:val="22"/>
          <w:lang w:val="fr-BE"/>
        </w:rPr>
        <w:t xml:space="preserve"> jugement </w:t>
      </w:r>
      <w:r w:rsidR="001C4F12" w:rsidRPr="00472948">
        <w:rPr>
          <w:color w:val="000000"/>
          <w:sz w:val="22"/>
          <w:szCs w:val="22"/>
          <w:lang w:eastAsia="fr-FR"/>
        </w:rPr>
        <w:t xml:space="preserve">devant avoir lieu le 31 juillet 2020 a été renvoyée au 7 août 2020. </w:t>
      </w:r>
    </w:p>
    <w:p w14:paraId="53B73E62" w14:textId="77777777" w:rsidR="001C4F12" w:rsidRPr="00472948" w:rsidRDefault="001C4F12" w:rsidP="00B84E9C">
      <w:pPr>
        <w:jc w:val="both"/>
        <w:rPr>
          <w:sz w:val="22"/>
          <w:szCs w:val="22"/>
        </w:rPr>
      </w:pPr>
    </w:p>
    <w:p w14:paraId="37E106E6" w14:textId="5F0B33CB" w:rsidR="00B84E9C" w:rsidRPr="00472948" w:rsidRDefault="00B84E9C" w:rsidP="009524A5">
      <w:pPr>
        <w:jc w:val="both"/>
        <w:rPr>
          <w:color w:val="000000"/>
          <w:sz w:val="22"/>
          <w:szCs w:val="22"/>
          <w:highlight w:val="yellow"/>
          <w:lang w:eastAsia="fr-FR"/>
        </w:rPr>
      </w:pPr>
      <w:r w:rsidRPr="00472948">
        <w:rPr>
          <w:b/>
          <w:sz w:val="22"/>
          <w:szCs w:val="22"/>
          <w:u w:val="single"/>
        </w:rPr>
        <w:t>Le 13 juillet 2020</w:t>
      </w:r>
      <w:r w:rsidRPr="00472948">
        <w:rPr>
          <w:sz w:val="22"/>
          <w:szCs w:val="22"/>
        </w:rPr>
        <w:t>, à Mouila</w:t>
      </w:r>
      <w:r w:rsidR="00F55B39">
        <w:rPr>
          <w:sz w:val="22"/>
          <w:szCs w:val="22"/>
        </w:rPr>
        <w:t xml:space="preserve"> </w:t>
      </w:r>
      <w:r w:rsidRPr="00472948">
        <w:rPr>
          <w:sz w:val="22"/>
          <w:szCs w:val="22"/>
        </w:rPr>
        <w:t>(Province de la Ngounié)</w:t>
      </w:r>
      <w:r w:rsidR="00280C25" w:rsidRPr="00472948">
        <w:rPr>
          <w:sz w:val="22"/>
          <w:szCs w:val="22"/>
        </w:rPr>
        <w:t xml:space="preserve">, </w:t>
      </w:r>
      <w:r w:rsidR="00304D2E" w:rsidRPr="00472948">
        <w:rPr>
          <w:rStyle w:val="Accentuation"/>
          <w:i w:val="0"/>
          <w:iCs w:val="0"/>
          <w:sz w:val="22"/>
          <w:szCs w:val="22"/>
          <w:lang w:val="fr-BE"/>
        </w:rPr>
        <w:t xml:space="preserve">une équipe composée des éléments de la police judiciaire, </w:t>
      </w:r>
      <w:r w:rsidR="00CD2077" w:rsidRPr="00472948">
        <w:rPr>
          <w:rStyle w:val="Accentuation"/>
          <w:i w:val="0"/>
          <w:iCs w:val="0"/>
          <w:sz w:val="22"/>
          <w:szCs w:val="22"/>
          <w:lang w:val="fr-BE"/>
        </w:rPr>
        <w:t>des Eaux et Forêts</w:t>
      </w:r>
      <w:r w:rsidR="00304D2E" w:rsidRPr="00472948">
        <w:rPr>
          <w:rStyle w:val="Accentuation"/>
          <w:i w:val="0"/>
          <w:iCs w:val="0"/>
          <w:sz w:val="22"/>
          <w:szCs w:val="22"/>
          <w:lang w:val="fr-BE"/>
        </w:rPr>
        <w:t xml:space="preserve"> </w:t>
      </w:r>
      <w:r w:rsidR="00280C25" w:rsidRPr="00472948">
        <w:rPr>
          <w:rStyle w:val="Accentuation"/>
          <w:i w:val="0"/>
          <w:iCs w:val="0"/>
          <w:sz w:val="22"/>
          <w:szCs w:val="22"/>
          <w:lang w:val="fr-BE"/>
        </w:rPr>
        <w:t>appuyé par les</w:t>
      </w:r>
      <w:r w:rsidR="00304D2E" w:rsidRPr="00472948">
        <w:rPr>
          <w:rStyle w:val="Accentuation"/>
          <w:i w:val="0"/>
          <w:iCs w:val="0"/>
          <w:sz w:val="22"/>
          <w:szCs w:val="22"/>
          <w:lang w:val="fr-BE"/>
        </w:rPr>
        <w:t xml:space="preserve"> Juristes de l’ONG Conservation</w:t>
      </w:r>
      <w:r w:rsidR="00CD2077" w:rsidRPr="00472948">
        <w:rPr>
          <w:rStyle w:val="Accentuation"/>
          <w:i w:val="0"/>
          <w:iCs w:val="0"/>
          <w:sz w:val="22"/>
          <w:szCs w:val="22"/>
          <w:lang w:val="fr-BE"/>
        </w:rPr>
        <w:t xml:space="preserve"> </w:t>
      </w:r>
      <w:r w:rsidR="00304D2E" w:rsidRPr="00472948">
        <w:rPr>
          <w:rStyle w:val="Accentuation"/>
          <w:i w:val="0"/>
          <w:iCs w:val="0"/>
          <w:sz w:val="22"/>
          <w:szCs w:val="22"/>
          <w:lang w:val="fr-BE"/>
        </w:rPr>
        <w:t xml:space="preserve">Justice </w:t>
      </w:r>
      <w:r w:rsidR="005F477B">
        <w:rPr>
          <w:rStyle w:val="Accentuation"/>
          <w:i w:val="0"/>
          <w:iCs w:val="0"/>
          <w:sz w:val="22"/>
          <w:szCs w:val="22"/>
          <w:lang w:val="fr-BE"/>
        </w:rPr>
        <w:t>a mis</w:t>
      </w:r>
      <w:r w:rsidR="00304D2E" w:rsidRPr="00472948">
        <w:rPr>
          <w:rStyle w:val="Accentuation"/>
          <w:i w:val="0"/>
          <w:iCs w:val="0"/>
          <w:sz w:val="22"/>
          <w:szCs w:val="22"/>
          <w:lang w:val="fr-BE"/>
        </w:rPr>
        <w:t xml:space="preserve"> la main sur deux individus, l’un de nationalité </w:t>
      </w:r>
      <w:r w:rsidR="00CD2077" w:rsidRPr="00472948">
        <w:rPr>
          <w:rStyle w:val="Accentuation"/>
          <w:i w:val="0"/>
          <w:iCs w:val="0"/>
          <w:sz w:val="22"/>
          <w:szCs w:val="22"/>
          <w:lang w:val="fr-BE"/>
        </w:rPr>
        <w:t>burkinabé</w:t>
      </w:r>
      <w:r w:rsidR="00304D2E" w:rsidRPr="00472948">
        <w:rPr>
          <w:rStyle w:val="Accentuation"/>
          <w:i w:val="0"/>
          <w:iCs w:val="0"/>
          <w:sz w:val="22"/>
          <w:szCs w:val="22"/>
          <w:lang w:val="fr-BE"/>
        </w:rPr>
        <w:t xml:space="preserve">, le nommé </w:t>
      </w:r>
      <w:proofErr w:type="gramStart"/>
      <w:r w:rsidR="00CD2077" w:rsidRPr="00472948">
        <w:rPr>
          <w:sz w:val="22"/>
          <w:szCs w:val="22"/>
        </w:rPr>
        <w:t>ABDOULAYE  GUETIKILA</w:t>
      </w:r>
      <w:proofErr w:type="gramEnd"/>
      <w:r w:rsidR="00304D2E" w:rsidRPr="00472948">
        <w:rPr>
          <w:rStyle w:val="Accentuation"/>
          <w:i w:val="0"/>
          <w:iCs w:val="0"/>
          <w:sz w:val="22"/>
          <w:szCs w:val="22"/>
          <w:lang w:val="fr-BE"/>
        </w:rPr>
        <w:t xml:space="preserve">, et l’autre de nationalité gabonaise dénommé </w:t>
      </w:r>
      <w:r w:rsidR="00CD2077" w:rsidRPr="00472948">
        <w:rPr>
          <w:sz w:val="22"/>
          <w:szCs w:val="22"/>
        </w:rPr>
        <w:t xml:space="preserve">MONDJO </w:t>
      </w:r>
      <w:proofErr w:type="spellStart"/>
      <w:r w:rsidR="00CD2077" w:rsidRPr="00472948">
        <w:rPr>
          <w:sz w:val="22"/>
          <w:szCs w:val="22"/>
        </w:rPr>
        <w:t>Goldsman</w:t>
      </w:r>
      <w:proofErr w:type="spellEnd"/>
      <w:r w:rsidR="00280C25" w:rsidRPr="00472948">
        <w:rPr>
          <w:sz w:val="22"/>
          <w:szCs w:val="22"/>
        </w:rPr>
        <w:t>,</w:t>
      </w:r>
      <w:r w:rsidR="00CD2077" w:rsidRPr="00472948">
        <w:rPr>
          <w:rStyle w:val="Accentuation"/>
          <w:i w:val="0"/>
          <w:iCs w:val="0"/>
          <w:sz w:val="22"/>
          <w:szCs w:val="22"/>
          <w:lang w:val="fr-BE"/>
        </w:rPr>
        <w:t xml:space="preserve"> </w:t>
      </w:r>
      <w:r w:rsidR="00280C25" w:rsidRPr="00472948">
        <w:rPr>
          <w:sz w:val="22"/>
          <w:szCs w:val="22"/>
          <w:lang w:eastAsia="fr-FR"/>
        </w:rPr>
        <w:t>en flagrant délit de tentative de vente de quatre (04) pointe</w:t>
      </w:r>
      <w:r w:rsidR="005F477B">
        <w:rPr>
          <w:sz w:val="22"/>
          <w:szCs w:val="22"/>
          <w:lang w:eastAsia="fr-FR"/>
        </w:rPr>
        <w:t>s</w:t>
      </w:r>
      <w:r w:rsidR="00280C25" w:rsidRPr="00472948">
        <w:rPr>
          <w:sz w:val="22"/>
          <w:szCs w:val="22"/>
          <w:lang w:eastAsia="fr-FR"/>
        </w:rPr>
        <w:t xml:space="preserve"> d’ivoire brut d’une masse totale de 16 kg</w:t>
      </w:r>
      <w:r w:rsidR="00304D2E" w:rsidRPr="00472948">
        <w:rPr>
          <w:rStyle w:val="Accentuation"/>
          <w:i w:val="0"/>
          <w:iCs w:val="0"/>
          <w:sz w:val="22"/>
          <w:szCs w:val="22"/>
          <w:lang w:val="fr-BE"/>
        </w:rPr>
        <w:t>.</w:t>
      </w:r>
      <w:r w:rsidR="00CD2077" w:rsidRPr="00472948">
        <w:rPr>
          <w:rStyle w:val="Accentuation"/>
          <w:i w:val="0"/>
          <w:iCs w:val="0"/>
          <w:sz w:val="22"/>
          <w:szCs w:val="22"/>
          <w:lang w:val="fr-BE"/>
        </w:rPr>
        <w:t xml:space="preserve"> </w:t>
      </w:r>
      <w:r w:rsidR="00FA5A67" w:rsidRPr="00472948">
        <w:rPr>
          <w:rStyle w:val="Accentuation"/>
          <w:i w:val="0"/>
          <w:iCs w:val="0"/>
          <w:sz w:val="22"/>
          <w:szCs w:val="22"/>
          <w:lang w:val="fr-BE"/>
        </w:rPr>
        <w:t>Le</w:t>
      </w:r>
      <w:r w:rsidR="00567C4B">
        <w:rPr>
          <w:rStyle w:val="Accentuation"/>
          <w:i w:val="0"/>
          <w:iCs w:val="0"/>
          <w:sz w:val="22"/>
          <w:szCs w:val="22"/>
          <w:lang w:val="fr-BE"/>
        </w:rPr>
        <w:t xml:space="preserve"> premier</w:t>
      </w:r>
      <w:r w:rsidR="00CD2077" w:rsidRPr="00472948">
        <w:rPr>
          <w:rStyle w:val="Accentuation"/>
          <w:i w:val="0"/>
          <w:iCs w:val="0"/>
          <w:sz w:val="22"/>
          <w:szCs w:val="22"/>
          <w:lang w:val="fr-BE"/>
        </w:rPr>
        <w:t xml:space="preserve"> cité </w:t>
      </w:r>
      <w:r w:rsidR="00CD2077" w:rsidRPr="00472948">
        <w:rPr>
          <w:sz w:val="22"/>
          <w:szCs w:val="22"/>
        </w:rPr>
        <w:t xml:space="preserve">va </w:t>
      </w:r>
      <w:r w:rsidR="00280C25" w:rsidRPr="00472948">
        <w:rPr>
          <w:sz w:val="22"/>
          <w:szCs w:val="22"/>
        </w:rPr>
        <w:t>dénoncer</w:t>
      </w:r>
      <w:r w:rsidR="00CD2077" w:rsidRPr="00472948">
        <w:rPr>
          <w:sz w:val="22"/>
          <w:szCs w:val="22"/>
        </w:rPr>
        <w:t xml:space="preserve"> KOUMBA Jeanne</w:t>
      </w:r>
      <w:r w:rsidR="00280C25" w:rsidRPr="00472948">
        <w:rPr>
          <w:sz w:val="22"/>
          <w:szCs w:val="22"/>
        </w:rPr>
        <w:t>, sujet gabonais</w:t>
      </w:r>
      <w:r w:rsidR="00CD2077" w:rsidRPr="00472948">
        <w:rPr>
          <w:sz w:val="22"/>
          <w:szCs w:val="22"/>
        </w:rPr>
        <w:t xml:space="preserve"> comme propriétaire de deux pointes d'ivoire dans le lot saisi. Elle sera à son tour interpelée. </w:t>
      </w:r>
      <w:r w:rsidR="00280C25" w:rsidRPr="00472948">
        <w:rPr>
          <w:sz w:val="22"/>
          <w:szCs w:val="22"/>
          <w:lang w:eastAsia="fr-FR"/>
        </w:rPr>
        <w:t>Après être entendus par le Procureur de la République de la chambre spéciale du tribunal de première instance de Libreville, les trois personnes poursuivies ont tou</w:t>
      </w:r>
      <w:r w:rsidR="005F477B">
        <w:rPr>
          <w:sz w:val="22"/>
          <w:szCs w:val="22"/>
          <w:lang w:eastAsia="fr-FR"/>
        </w:rPr>
        <w:t>tes</w:t>
      </w:r>
      <w:r w:rsidR="00280C25" w:rsidRPr="00472948">
        <w:rPr>
          <w:sz w:val="22"/>
          <w:szCs w:val="22"/>
          <w:lang w:eastAsia="fr-FR"/>
        </w:rPr>
        <w:t xml:space="preserve"> été placé</w:t>
      </w:r>
      <w:r w:rsidR="005F477B">
        <w:rPr>
          <w:sz w:val="22"/>
          <w:szCs w:val="22"/>
          <w:lang w:eastAsia="fr-FR"/>
        </w:rPr>
        <w:t>e</w:t>
      </w:r>
      <w:r w:rsidR="00280C25" w:rsidRPr="00472948">
        <w:rPr>
          <w:sz w:val="22"/>
          <w:szCs w:val="22"/>
          <w:lang w:eastAsia="fr-FR"/>
        </w:rPr>
        <w:t xml:space="preserve">s en détention préventive en attendant l’audience dont la date </w:t>
      </w:r>
      <w:r w:rsidR="004B4036" w:rsidRPr="00472948">
        <w:rPr>
          <w:sz w:val="22"/>
          <w:szCs w:val="22"/>
          <w:lang w:eastAsia="fr-FR"/>
        </w:rPr>
        <w:t xml:space="preserve">est fixée </w:t>
      </w:r>
      <w:r w:rsidR="004B4036" w:rsidRPr="00472948">
        <w:rPr>
          <w:color w:val="000000"/>
          <w:sz w:val="22"/>
          <w:szCs w:val="22"/>
          <w:lang w:eastAsia="fr-FR"/>
        </w:rPr>
        <w:t xml:space="preserve">au 7 août 2020. </w:t>
      </w:r>
    </w:p>
    <w:p w14:paraId="4ED28277" w14:textId="77777777" w:rsidR="000E426B" w:rsidRPr="00472948" w:rsidRDefault="000E426B" w:rsidP="000E426B">
      <w:pPr>
        <w:jc w:val="both"/>
        <w:rPr>
          <w:sz w:val="22"/>
          <w:szCs w:val="22"/>
        </w:rPr>
      </w:pPr>
    </w:p>
    <w:p w14:paraId="7CE3F20F" w14:textId="77777777" w:rsidR="000B7079" w:rsidRPr="00472948" w:rsidRDefault="000B7079" w:rsidP="000B7079">
      <w:pPr>
        <w:pStyle w:val="Titre1"/>
        <w:shd w:val="clear" w:color="auto" w:fill="000000" w:themeFill="text1"/>
        <w:rPr>
          <w:rStyle w:val="Accentuation"/>
          <w:i w:val="0"/>
          <w:sz w:val="22"/>
          <w:szCs w:val="22"/>
        </w:rPr>
      </w:pPr>
      <w:bookmarkStart w:id="4" w:name="_Toc7774929"/>
      <w:r w:rsidRPr="00472948">
        <w:rPr>
          <w:rStyle w:val="Accentuation"/>
          <w:i w:val="0"/>
          <w:sz w:val="22"/>
          <w:szCs w:val="22"/>
        </w:rPr>
        <w:t>Département juridique</w:t>
      </w:r>
      <w:bookmarkEnd w:id="4"/>
    </w:p>
    <w:p w14:paraId="4FCA19B1" w14:textId="77777777" w:rsidR="00567C4B" w:rsidRDefault="00567C4B" w:rsidP="009524A5">
      <w:pPr>
        <w:jc w:val="both"/>
        <w:rPr>
          <w:rStyle w:val="Accentuation"/>
          <w:sz w:val="22"/>
          <w:szCs w:val="22"/>
        </w:rPr>
      </w:pPr>
    </w:p>
    <w:p w14:paraId="1748790A" w14:textId="77777777" w:rsidR="009524A5" w:rsidRPr="00567C4B" w:rsidRDefault="009524A5" w:rsidP="009524A5">
      <w:pPr>
        <w:jc w:val="both"/>
        <w:rPr>
          <w:rStyle w:val="Accentuation"/>
          <w:i w:val="0"/>
          <w:sz w:val="22"/>
          <w:szCs w:val="22"/>
        </w:rPr>
      </w:pPr>
      <w:r w:rsidRPr="00567C4B">
        <w:rPr>
          <w:rStyle w:val="Accentuation"/>
          <w:i w:val="0"/>
          <w:sz w:val="22"/>
          <w:szCs w:val="22"/>
        </w:rPr>
        <w:t xml:space="preserve">Pour ce mois de juillet 2020, le département juridique a suivi sept affaires. Il y a eu le suivi de trois affaires en délibéré concernant six (6) trafiquants d’ivoire reconnus coupables des faits à eux reprochés et condamnés aussi bien à des peines d’emprisonnement </w:t>
      </w:r>
      <w:r w:rsidR="0075056E" w:rsidRPr="00567C4B">
        <w:rPr>
          <w:rStyle w:val="Accentuation"/>
          <w:i w:val="0"/>
          <w:sz w:val="22"/>
          <w:szCs w:val="22"/>
        </w:rPr>
        <w:t>ferme, les</w:t>
      </w:r>
      <w:r w:rsidRPr="00567C4B">
        <w:rPr>
          <w:rStyle w:val="Accentuation"/>
          <w:i w:val="0"/>
          <w:sz w:val="22"/>
          <w:szCs w:val="22"/>
        </w:rPr>
        <w:t xml:space="preserve"> amendes mais aussi des dommages-intérêts.</w:t>
      </w:r>
    </w:p>
    <w:p w14:paraId="52583106" w14:textId="77777777" w:rsidR="009524A5" w:rsidRPr="00567C4B" w:rsidRDefault="009524A5" w:rsidP="009524A5">
      <w:pPr>
        <w:jc w:val="both"/>
        <w:rPr>
          <w:rStyle w:val="Accentuation"/>
          <w:i w:val="0"/>
          <w:sz w:val="22"/>
          <w:szCs w:val="22"/>
        </w:rPr>
      </w:pPr>
    </w:p>
    <w:p w14:paraId="1C5D9C75" w14:textId="4BCED4E7" w:rsidR="009524A5" w:rsidRPr="00567C4B" w:rsidRDefault="009524A5" w:rsidP="009524A5">
      <w:pPr>
        <w:jc w:val="both"/>
        <w:rPr>
          <w:rStyle w:val="Accentuation"/>
          <w:i w:val="0"/>
          <w:sz w:val="22"/>
          <w:szCs w:val="22"/>
        </w:rPr>
      </w:pPr>
      <w:r w:rsidRPr="00567C4B">
        <w:rPr>
          <w:rStyle w:val="Accentuation"/>
          <w:i w:val="0"/>
          <w:sz w:val="22"/>
          <w:szCs w:val="22"/>
        </w:rPr>
        <w:t>Il y a également les suivi</w:t>
      </w:r>
      <w:r w:rsidR="00F55B39">
        <w:rPr>
          <w:rStyle w:val="Accentuation"/>
          <w:i w:val="0"/>
          <w:sz w:val="22"/>
          <w:szCs w:val="22"/>
        </w:rPr>
        <w:t>s</w:t>
      </w:r>
      <w:r w:rsidRPr="00567C4B">
        <w:rPr>
          <w:rStyle w:val="Accentuation"/>
          <w:i w:val="0"/>
          <w:sz w:val="22"/>
          <w:szCs w:val="22"/>
        </w:rPr>
        <w:t xml:space="preserve"> de deux nouvelles affaires liées à deux opérations de cinq (5) personnes arrêtées à Tchibanga et à Mouila et actuellement en détention préventive à la prison centrale de Libreville en attendant d’être jugées.</w:t>
      </w:r>
    </w:p>
    <w:p w14:paraId="4E47EFD9" w14:textId="77777777" w:rsidR="009524A5" w:rsidRPr="00567C4B" w:rsidRDefault="009524A5" w:rsidP="009524A5">
      <w:pPr>
        <w:jc w:val="both"/>
        <w:rPr>
          <w:rStyle w:val="Accentuation"/>
          <w:i w:val="0"/>
          <w:sz w:val="22"/>
          <w:szCs w:val="22"/>
        </w:rPr>
      </w:pPr>
    </w:p>
    <w:p w14:paraId="38C92C47" w14:textId="77777777" w:rsidR="009524A5" w:rsidRPr="00A95829" w:rsidRDefault="009524A5" w:rsidP="009524A5">
      <w:pPr>
        <w:jc w:val="both"/>
        <w:rPr>
          <w:rStyle w:val="Accentuation"/>
          <w:i w:val="0"/>
          <w:sz w:val="22"/>
          <w:szCs w:val="22"/>
        </w:rPr>
      </w:pPr>
      <w:r w:rsidRPr="00567C4B">
        <w:rPr>
          <w:rStyle w:val="Accentuation"/>
          <w:i w:val="0"/>
          <w:sz w:val="22"/>
          <w:szCs w:val="22"/>
        </w:rPr>
        <w:t>Enfin, les juristes ont suivi la procédure de deux affaires d’une personne chacune interpellées pour chasse de panthère et éléphant poursuivies par le parquet pour chasse d’espèce intégralement protégées et détention d’ivoire.</w:t>
      </w:r>
      <w:r w:rsidR="00567C4B">
        <w:rPr>
          <w:rStyle w:val="Accentuation"/>
          <w:i w:val="0"/>
          <w:sz w:val="22"/>
          <w:szCs w:val="22"/>
        </w:rPr>
        <w:t xml:space="preserve"> Il s’agit bien évidemment des </w:t>
      </w:r>
      <w:r w:rsidR="00567C4B" w:rsidRPr="00A95829">
        <w:rPr>
          <w:sz w:val="22"/>
          <w:szCs w:val="22"/>
          <w:lang w:val="fr-BE"/>
        </w:rPr>
        <w:t>cas initiés par les forces de l'ordre.</w:t>
      </w:r>
    </w:p>
    <w:p w14:paraId="18B46E78" w14:textId="77777777" w:rsidR="009524A5" w:rsidRPr="00472948" w:rsidRDefault="009524A5" w:rsidP="009524A5">
      <w:pPr>
        <w:jc w:val="both"/>
        <w:rPr>
          <w:rStyle w:val="Accentuation"/>
          <w:i w:val="0"/>
          <w:sz w:val="22"/>
          <w:szCs w:val="22"/>
        </w:rPr>
      </w:pPr>
    </w:p>
    <w:p w14:paraId="5CFEC0CB" w14:textId="77777777" w:rsidR="00306FD5" w:rsidRPr="00472948" w:rsidRDefault="00306FD5" w:rsidP="00306FD5">
      <w:pPr>
        <w:spacing w:after="240"/>
        <w:jc w:val="both"/>
        <w:rPr>
          <w:rStyle w:val="Accentuation"/>
          <w:b/>
          <w:i w:val="0"/>
          <w:sz w:val="22"/>
          <w:szCs w:val="22"/>
        </w:rPr>
      </w:pPr>
      <w:r w:rsidRPr="00472948">
        <w:rPr>
          <w:rStyle w:val="Accentuation"/>
          <w:b/>
          <w:i w:val="0"/>
          <w:sz w:val="22"/>
          <w:szCs w:val="22"/>
        </w:rPr>
        <w:t xml:space="preserve">4.1. Suivi des affaires </w:t>
      </w:r>
    </w:p>
    <w:p w14:paraId="3437055D" w14:textId="77777777" w:rsidR="00306FD5" w:rsidRPr="00472948" w:rsidRDefault="00B3415C" w:rsidP="00306FD5">
      <w:pPr>
        <w:spacing w:after="240"/>
        <w:jc w:val="both"/>
        <w:rPr>
          <w:rStyle w:val="Accentuation"/>
          <w:sz w:val="22"/>
          <w:szCs w:val="22"/>
        </w:rPr>
      </w:pPr>
      <w:proofErr w:type="gramStart"/>
      <w:r w:rsidRPr="00472948">
        <w:rPr>
          <w:rStyle w:val="Accentuation"/>
          <w:sz w:val="22"/>
          <w:szCs w:val="22"/>
        </w:rPr>
        <w:t>Indicateur:</w:t>
      </w:r>
      <w:proofErr w:type="gramEnd"/>
    </w:p>
    <w:tbl>
      <w:tblPr>
        <w:tblStyle w:val="Grilledetableauclaire1"/>
        <w:tblW w:w="0" w:type="auto"/>
        <w:jc w:val="center"/>
        <w:tblLook w:val="04A0" w:firstRow="1" w:lastRow="0" w:firstColumn="1" w:lastColumn="0" w:noHBand="0" w:noVBand="1"/>
      </w:tblPr>
      <w:tblGrid>
        <w:gridCol w:w="4644"/>
        <w:gridCol w:w="4200"/>
      </w:tblGrid>
      <w:tr w:rsidR="00306FD5" w:rsidRPr="00472948" w14:paraId="705A96EB" w14:textId="77777777" w:rsidTr="000B5D2B">
        <w:trPr>
          <w:jc w:val="center"/>
        </w:trPr>
        <w:tc>
          <w:tcPr>
            <w:tcW w:w="4644" w:type="dxa"/>
          </w:tcPr>
          <w:p w14:paraId="3DD57D8D" w14:textId="77777777" w:rsidR="00306FD5" w:rsidRPr="00472948" w:rsidRDefault="00B3415C" w:rsidP="000B5D2B">
            <w:pPr>
              <w:jc w:val="both"/>
              <w:rPr>
                <w:rStyle w:val="Accentuation"/>
                <w:sz w:val="22"/>
                <w:szCs w:val="22"/>
              </w:rPr>
            </w:pPr>
            <w:r w:rsidRPr="00472948">
              <w:rPr>
                <w:rStyle w:val="Accentuation"/>
                <w:sz w:val="22"/>
                <w:szCs w:val="22"/>
              </w:rPr>
              <w:t>Nombre d’affaires suivies</w:t>
            </w:r>
          </w:p>
        </w:tc>
        <w:tc>
          <w:tcPr>
            <w:tcW w:w="4200" w:type="dxa"/>
          </w:tcPr>
          <w:p w14:paraId="423E6FFA" w14:textId="77777777" w:rsidR="00306FD5" w:rsidRPr="00472948" w:rsidRDefault="009524A5" w:rsidP="000B5D2B">
            <w:pPr>
              <w:jc w:val="center"/>
              <w:rPr>
                <w:rStyle w:val="Accentuation"/>
                <w:sz w:val="22"/>
                <w:szCs w:val="22"/>
              </w:rPr>
            </w:pPr>
            <w:r w:rsidRPr="00472948">
              <w:rPr>
                <w:rStyle w:val="Accentuation"/>
                <w:sz w:val="22"/>
                <w:szCs w:val="22"/>
              </w:rPr>
              <w:t>07</w:t>
            </w:r>
          </w:p>
        </w:tc>
      </w:tr>
      <w:tr w:rsidR="00FE68C6" w:rsidRPr="00472948" w14:paraId="776C336D" w14:textId="77777777" w:rsidTr="000B5D2B">
        <w:trPr>
          <w:jc w:val="center"/>
        </w:trPr>
        <w:tc>
          <w:tcPr>
            <w:tcW w:w="4644" w:type="dxa"/>
          </w:tcPr>
          <w:p w14:paraId="5E5CB20D" w14:textId="77777777" w:rsidR="00FE68C6" w:rsidRPr="00472948" w:rsidRDefault="00B3415C" w:rsidP="00FE68C6">
            <w:pPr>
              <w:jc w:val="both"/>
              <w:rPr>
                <w:rStyle w:val="Accentuation"/>
                <w:sz w:val="22"/>
                <w:szCs w:val="22"/>
              </w:rPr>
            </w:pPr>
            <w:r w:rsidRPr="00472948">
              <w:rPr>
                <w:rStyle w:val="Accentuation"/>
                <w:sz w:val="22"/>
                <w:szCs w:val="22"/>
              </w:rPr>
              <w:t>Nombre de condamnations</w:t>
            </w:r>
          </w:p>
        </w:tc>
        <w:tc>
          <w:tcPr>
            <w:tcW w:w="4200" w:type="dxa"/>
          </w:tcPr>
          <w:p w14:paraId="25278028" w14:textId="77777777" w:rsidR="00FE68C6" w:rsidRPr="00472948" w:rsidRDefault="009524A5" w:rsidP="00FE68C6">
            <w:pPr>
              <w:jc w:val="center"/>
              <w:rPr>
                <w:rStyle w:val="Accentuation"/>
                <w:sz w:val="22"/>
                <w:szCs w:val="22"/>
              </w:rPr>
            </w:pPr>
            <w:r w:rsidRPr="00472948">
              <w:rPr>
                <w:rStyle w:val="Accentuation"/>
                <w:sz w:val="22"/>
                <w:szCs w:val="22"/>
              </w:rPr>
              <w:t>08</w:t>
            </w:r>
          </w:p>
        </w:tc>
      </w:tr>
      <w:tr w:rsidR="00FE68C6" w:rsidRPr="00472948" w14:paraId="40AE995D" w14:textId="77777777" w:rsidTr="000B5D2B">
        <w:trPr>
          <w:jc w:val="center"/>
        </w:trPr>
        <w:tc>
          <w:tcPr>
            <w:tcW w:w="4644" w:type="dxa"/>
          </w:tcPr>
          <w:p w14:paraId="0CFDE5F2" w14:textId="77777777" w:rsidR="00FE68C6" w:rsidRPr="00472948" w:rsidRDefault="00B3415C" w:rsidP="00FE68C6">
            <w:pPr>
              <w:jc w:val="both"/>
              <w:rPr>
                <w:rStyle w:val="Accentuation"/>
                <w:sz w:val="22"/>
                <w:szCs w:val="22"/>
              </w:rPr>
            </w:pPr>
            <w:r w:rsidRPr="00472948">
              <w:rPr>
                <w:rStyle w:val="Accentuation"/>
                <w:sz w:val="22"/>
                <w:szCs w:val="22"/>
              </w:rPr>
              <w:t>Affaires enregistrées</w:t>
            </w:r>
          </w:p>
        </w:tc>
        <w:tc>
          <w:tcPr>
            <w:tcW w:w="4200" w:type="dxa"/>
          </w:tcPr>
          <w:p w14:paraId="036B2672" w14:textId="77777777" w:rsidR="00FE68C6" w:rsidRPr="00472948" w:rsidRDefault="009524A5" w:rsidP="00FE68C6">
            <w:pPr>
              <w:jc w:val="center"/>
              <w:rPr>
                <w:rStyle w:val="Accentuation"/>
                <w:sz w:val="22"/>
                <w:szCs w:val="22"/>
              </w:rPr>
            </w:pPr>
            <w:r w:rsidRPr="00472948">
              <w:rPr>
                <w:rStyle w:val="Accentuation"/>
                <w:sz w:val="22"/>
                <w:szCs w:val="22"/>
              </w:rPr>
              <w:t>02</w:t>
            </w:r>
          </w:p>
        </w:tc>
      </w:tr>
      <w:tr w:rsidR="00FE68C6" w:rsidRPr="00472948" w14:paraId="7A3AA4BE" w14:textId="77777777" w:rsidTr="000B5D2B">
        <w:trPr>
          <w:jc w:val="center"/>
        </w:trPr>
        <w:tc>
          <w:tcPr>
            <w:tcW w:w="4644" w:type="dxa"/>
          </w:tcPr>
          <w:p w14:paraId="053E563C" w14:textId="77777777" w:rsidR="00FE68C6" w:rsidRPr="00472948" w:rsidRDefault="00B3415C" w:rsidP="00FE68C6">
            <w:pPr>
              <w:jc w:val="both"/>
              <w:rPr>
                <w:rStyle w:val="Accentuation"/>
                <w:sz w:val="22"/>
                <w:szCs w:val="22"/>
              </w:rPr>
            </w:pPr>
            <w:r w:rsidRPr="00472948">
              <w:rPr>
                <w:rStyle w:val="Accentuation"/>
                <w:sz w:val="22"/>
                <w:szCs w:val="22"/>
              </w:rPr>
              <w:t>Nombre de prévenus</w:t>
            </w:r>
          </w:p>
        </w:tc>
        <w:tc>
          <w:tcPr>
            <w:tcW w:w="4200" w:type="dxa"/>
          </w:tcPr>
          <w:p w14:paraId="437F0048" w14:textId="77777777" w:rsidR="00FE68C6" w:rsidRPr="00472948" w:rsidRDefault="009524A5" w:rsidP="00FE68C6">
            <w:pPr>
              <w:jc w:val="center"/>
              <w:rPr>
                <w:rStyle w:val="Accentuation"/>
                <w:sz w:val="22"/>
                <w:szCs w:val="22"/>
              </w:rPr>
            </w:pPr>
            <w:r w:rsidRPr="00472948">
              <w:rPr>
                <w:rStyle w:val="Accentuation"/>
                <w:sz w:val="22"/>
                <w:szCs w:val="22"/>
              </w:rPr>
              <w:t>05</w:t>
            </w:r>
          </w:p>
        </w:tc>
      </w:tr>
    </w:tbl>
    <w:p w14:paraId="36CEFE04" w14:textId="77777777" w:rsidR="00D15EAF" w:rsidRPr="00472948" w:rsidRDefault="00D15EAF" w:rsidP="00893459">
      <w:pPr>
        <w:spacing w:line="276" w:lineRule="auto"/>
        <w:jc w:val="both"/>
        <w:rPr>
          <w:rStyle w:val="Accentuation"/>
          <w:i w:val="0"/>
          <w:sz w:val="22"/>
          <w:szCs w:val="22"/>
          <w:lang w:val="fr-BE"/>
        </w:rPr>
      </w:pPr>
    </w:p>
    <w:p w14:paraId="3DF3B5FF" w14:textId="58CA79CF" w:rsidR="009524A5" w:rsidRPr="00A95829" w:rsidRDefault="009524A5" w:rsidP="009524A5">
      <w:pPr>
        <w:jc w:val="both"/>
        <w:rPr>
          <w:rStyle w:val="Accentuation"/>
          <w:i w:val="0"/>
          <w:sz w:val="22"/>
          <w:szCs w:val="22"/>
        </w:rPr>
      </w:pPr>
      <w:bookmarkStart w:id="5" w:name="_Toc7774930"/>
      <w:r w:rsidRPr="00A95829">
        <w:rPr>
          <w:rStyle w:val="Accentuation"/>
          <w:i w:val="0"/>
          <w:sz w:val="22"/>
          <w:szCs w:val="22"/>
        </w:rPr>
        <w:t xml:space="preserve">Il y a eu sept affaires suivies. Quatre affaires jugées ayant permis la condamnation de huit personnes, une affaire plaidée de deux personnes impliquées également dans le trafic d’ivoire et deux nouvelles affaires enregistrées concernant cinq personnes en attente d’être jugées. </w:t>
      </w:r>
    </w:p>
    <w:p w14:paraId="4999C99C" w14:textId="77777777" w:rsidR="009524A5" w:rsidRPr="00472948" w:rsidRDefault="009524A5" w:rsidP="009524A5">
      <w:pPr>
        <w:jc w:val="both"/>
        <w:rPr>
          <w:rStyle w:val="Accentuation"/>
          <w:i w:val="0"/>
          <w:sz w:val="22"/>
          <w:szCs w:val="22"/>
        </w:rPr>
      </w:pPr>
    </w:p>
    <w:p w14:paraId="2BD83493" w14:textId="77777777" w:rsidR="009524A5" w:rsidRPr="00472948" w:rsidRDefault="009524A5" w:rsidP="009524A5">
      <w:pPr>
        <w:jc w:val="both"/>
        <w:rPr>
          <w:color w:val="000000"/>
          <w:sz w:val="22"/>
          <w:szCs w:val="22"/>
          <w:lang w:eastAsia="fr-FR"/>
        </w:rPr>
      </w:pPr>
      <w:r w:rsidRPr="00472948">
        <w:rPr>
          <w:color w:val="000000"/>
          <w:sz w:val="22"/>
          <w:szCs w:val="22"/>
          <w:lang w:eastAsia="fr-FR"/>
        </w:rPr>
        <w:t>Les différentes affaires suivies sont les suivantes :</w:t>
      </w:r>
    </w:p>
    <w:p w14:paraId="2065A925" w14:textId="77777777" w:rsidR="009524A5" w:rsidRPr="00472948" w:rsidRDefault="009524A5" w:rsidP="009524A5">
      <w:pPr>
        <w:jc w:val="both"/>
        <w:rPr>
          <w:color w:val="000000"/>
          <w:sz w:val="22"/>
          <w:szCs w:val="22"/>
          <w:lang w:eastAsia="fr-FR"/>
        </w:rPr>
      </w:pPr>
    </w:p>
    <w:p w14:paraId="7716BDB0" w14:textId="5BFEAC1B" w:rsidR="009524A5" w:rsidRPr="00472948" w:rsidRDefault="009524A5" w:rsidP="009524A5">
      <w:pPr>
        <w:jc w:val="both"/>
        <w:rPr>
          <w:color w:val="000000"/>
          <w:sz w:val="22"/>
          <w:szCs w:val="22"/>
          <w:lang w:eastAsia="fr-FR"/>
        </w:rPr>
      </w:pPr>
      <w:r w:rsidRPr="00472948">
        <w:rPr>
          <w:b/>
          <w:color w:val="000000"/>
          <w:sz w:val="22"/>
          <w:szCs w:val="22"/>
          <w:lang w:eastAsia="fr-FR"/>
        </w:rPr>
        <w:t>Affaire 1 </w:t>
      </w:r>
      <w:r w:rsidR="0075056E" w:rsidRPr="00472948">
        <w:rPr>
          <w:b/>
          <w:color w:val="000000"/>
          <w:sz w:val="22"/>
          <w:szCs w:val="22"/>
          <w:lang w:eastAsia="fr-FR"/>
        </w:rPr>
        <w:t>: Ministère</w:t>
      </w:r>
      <w:r w:rsidRPr="00472948">
        <w:rPr>
          <w:b/>
          <w:color w:val="000000"/>
          <w:sz w:val="22"/>
          <w:szCs w:val="22"/>
          <w:lang w:eastAsia="fr-FR"/>
        </w:rPr>
        <w:t xml:space="preserve"> Public et Ministère des eaux et forêts contre NGUIAMOUSSANGOU Ignace et LEMI Judicaël</w:t>
      </w:r>
      <w:r w:rsidR="0075056E" w:rsidRPr="00472948">
        <w:rPr>
          <w:b/>
          <w:color w:val="000000"/>
          <w:sz w:val="22"/>
          <w:szCs w:val="22"/>
          <w:lang w:eastAsia="fr-FR"/>
        </w:rPr>
        <w:t> </w:t>
      </w:r>
      <w:r w:rsidR="0075056E" w:rsidRPr="00472948">
        <w:rPr>
          <w:color w:val="000000"/>
          <w:sz w:val="22"/>
          <w:szCs w:val="22"/>
          <w:lang w:eastAsia="fr-FR"/>
        </w:rPr>
        <w:t>:</w:t>
      </w:r>
      <w:r w:rsidRPr="00472948">
        <w:rPr>
          <w:color w:val="000000"/>
          <w:sz w:val="22"/>
          <w:szCs w:val="22"/>
          <w:lang w:eastAsia="fr-FR"/>
        </w:rPr>
        <w:t xml:space="preserve"> Jugés au mois de juin dernier pour détention, transport et tentative de vente d’ivoire sans autorisation</w:t>
      </w:r>
      <w:r w:rsidR="00A95829">
        <w:rPr>
          <w:color w:val="000000"/>
          <w:sz w:val="22"/>
          <w:szCs w:val="22"/>
          <w:lang w:eastAsia="fr-FR"/>
        </w:rPr>
        <w:t>, il</w:t>
      </w:r>
      <w:r w:rsidRPr="00472948">
        <w:rPr>
          <w:color w:val="000000"/>
          <w:sz w:val="22"/>
          <w:szCs w:val="22"/>
          <w:lang w:eastAsia="fr-FR"/>
        </w:rPr>
        <w:t>s ont été</w:t>
      </w:r>
      <w:r w:rsidR="0075056E" w:rsidRPr="00472948">
        <w:rPr>
          <w:color w:val="000000"/>
          <w:sz w:val="22"/>
          <w:szCs w:val="22"/>
          <w:lang w:eastAsia="fr-FR"/>
        </w:rPr>
        <w:t xml:space="preserve"> </w:t>
      </w:r>
      <w:r w:rsidRPr="00472948">
        <w:rPr>
          <w:color w:val="000000"/>
          <w:sz w:val="22"/>
          <w:szCs w:val="22"/>
          <w:lang w:eastAsia="fr-FR"/>
        </w:rPr>
        <w:t>reconnus coupables des faits à eux reprochés et condamnés à 2 ans dont un</w:t>
      </w:r>
      <w:r w:rsidR="00A95829">
        <w:rPr>
          <w:color w:val="000000"/>
          <w:sz w:val="22"/>
          <w:szCs w:val="22"/>
          <w:lang w:eastAsia="fr-FR"/>
        </w:rPr>
        <w:t xml:space="preserve"> de</w:t>
      </w:r>
      <w:r w:rsidRPr="00472948">
        <w:rPr>
          <w:color w:val="000000"/>
          <w:sz w:val="22"/>
          <w:szCs w:val="22"/>
          <w:lang w:eastAsia="fr-FR"/>
        </w:rPr>
        <w:t xml:space="preserve"> su</w:t>
      </w:r>
      <w:r w:rsidR="0075056E" w:rsidRPr="00472948">
        <w:rPr>
          <w:color w:val="000000"/>
          <w:sz w:val="22"/>
          <w:szCs w:val="22"/>
          <w:lang w:eastAsia="fr-FR"/>
        </w:rPr>
        <w:t xml:space="preserve">rsis, 1 585 </w:t>
      </w:r>
      <w:r w:rsidRPr="00472948">
        <w:rPr>
          <w:color w:val="000000"/>
          <w:sz w:val="22"/>
          <w:szCs w:val="22"/>
          <w:lang w:eastAsia="fr-FR"/>
        </w:rPr>
        <w:t xml:space="preserve">000 Francs CFA d’amende et 1 000 000 de francs CFA de dommages-intérêts. </w:t>
      </w:r>
    </w:p>
    <w:p w14:paraId="3E78138E" w14:textId="77777777" w:rsidR="009524A5" w:rsidRPr="00472948" w:rsidRDefault="009524A5" w:rsidP="009524A5">
      <w:pPr>
        <w:jc w:val="both"/>
        <w:rPr>
          <w:color w:val="000000"/>
          <w:sz w:val="22"/>
          <w:szCs w:val="22"/>
          <w:lang w:eastAsia="fr-FR"/>
        </w:rPr>
      </w:pPr>
    </w:p>
    <w:p w14:paraId="1F9309ED" w14:textId="6AAFD682" w:rsidR="009524A5" w:rsidRPr="00472948" w:rsidRDefault="009524A5" w:rsidP="009524A5">
      <w:pPr>
        <w:jc w:val="both"/>
        <w:rPr>
          <w:b/>
          <w:color w:val="000000"/>
          <w:sz w:val="22"/>
          <w:szCs w:val="22"/>
          <w:lang w:eastAsia="fr-FR"/>
        </w:rPr>
      </w:pPr>
      <w:r w:rsidRPr="00472948">
        <w:rPr>
          <w:b/>
          <w:color w:val="000000"/>
          <w:sz w:val="22"/>
          <w:szCs w:val="22"/>
          <w:lang w:eastAsia="fr-FR"/>
        </w:rPr>
        <w:t>Affaire 2 : Min</w:t>
      </w:r>
      <w:r w:rsidR="00874212" w:rsidRPr="00472948">
        <w:rPr>
          <w:b/>
          <w:color w:val="000000"/>
          <w:sz w:val="22"/>
          <w:szCs w:val="22"/>
          <w:lang w:eastAsia="fr-FR"/>
        </w:rPr>
        <w:t>istère Public et Ministère des Eaux et F</w:t>
      </w:r>
      <w:r w:rsidRPr="00472948">
        <w:rPr>
          <w:b/>
          <w:color w:val="000000"/>
          <w:sz w:val="22"/>
          <w:szCs w:val="22"/>
          <w:lang w:eastAsia="fr-FR"/>
        </w:rPr>
        <w:t>orêts contre les nommés SAWADOGO ALASANE et KEREDAOUDA</w:t>
      </w:r>
      <w:r w:rsidR="0075056E" w:rsidRPr="00472948">
        <w:rPr>
          <w:b/>
          <w:color w:val="000000"/>
          <w:sz w:val="22"/>
          <w:szCs w:val="22"/>
          <w:lang w:eastAsia="fr-FR"/>
        </w:rPr>
        <w:t> </w:t>
      </w:r>
      <w:r w:rsidR="0075056E" w:rsidRPr="00472948">
        <w:rPr>
          <w:color w:val="000000"/>
          <w:sz w:val="22"/>
          <w:szCs w:val="22"/>
          <w:lang w:eastAsia="fr-FR"/>
        </w:rPr>
        <w:t>:</w:t>
      </w:r>
      <w:r w:rsidRPr="00472948">
        <w:rPr>
          <w:color w:val="000000"/>
          <w:sz w:val="22"/>
          <w:szCs w:val="22"/>
          <w:lang w:eastAsia="fr-FR"/>
        </w:rPr>
        <w:t xml:space="preserve"> Jugés le 3 juillet pour détention, transport et tentative de vente d’ivoire, ils </w:t>
      </w:r>
      <w:r w:rsidR="00A95829">
        <w:rPr>
          <w:color w:val="000000"/>
          <w:sz w:val="22"/>
          <w:szCs w:val="22"/>
          <w:lang w:eastAsia="fr-FR"/>
        </w:rPr>
        <w:t>ont été</w:t>
      </w:r>
      <w:r w:rsidR="00A95829" w:rsidRPr="00472948">
        <w:rPr>
          <w:color w:val="000000"/>
          <w:sz w:val="22"/>
          <w:szCs w:val="22"/>
          <w:lang w:eastAsia="fr-FR"/>
        </w:rPr>
        <w:t xml:space="preserve"> </w:t>
      </w:r>
      <w:r w:rsidRPr="00472948">
        <w:rPr>
          <w:color w:val="000000"/>
          <w:sz w:val="22"/>
          <w:szCs w:val="22"/>
          <w:lang w:eastAsia="fr-FR"/>
        </w:rPr>
        <w:t>reconnus coupables des faits à eux reprochés. En répression, ils ont été condamnés à 3 ans dont un de sursis, 1 000 000 F</w:t>
      </w:r>
      <w:r w:rsidR="00A95829">
        <w:rPr>
          <w:color w:val="000000"/>
          <w:sz w:val="22"/>
          <w:szCs w:val="22"/>
          <w:lang w:eastAsia="fr-FR"/>
        </w:rPr>
        <w:t>ranc</w:t>
      </w:r>
      <w:r w:rsidRPr="00472948">
        <w:rPr>
          <w:color w:val="000000"/>
          <w:sz w:val="22"/>
          <w:szCs w:val="22"/>
          <w:lang w:eastAsia="fr-FR"/>
        </w:rPr>
        <w:t xml:space="preserve"> CFA d’amende pénale et 1 500 000 F</w:t>
      </w:r>
      <w:r w:rsidR="00A95829">
        <w:rPr>
          <w:color w:val="000000"/>
          <w:sz w:val="22"/>
          <w:szCs w:val="22"/>
          <w:lang w:eastAsia="fr-FR"/>
        </w:rPr>
        <w:t>rancs</w:t>
      </w:r>
      <w:r w:rsidRPr="00472948">
        <w:rPr>
          <w:color w:val="000000"/>
          <w:sz w:val="22"/>
          <w:szCs w:val="22"/>
          <w:lang w:eastAsia="fr-FR"/>
        </w:rPr>
        <w:t xml:space="preserve"> CFA de dommages-intérêts.</w:t>
      </w:r>
    </w:p>
    <w:p w14:paraId="66F08CAE" w14:textId="77777777" w:rsidR="009524A5" w:rsidRPr="00472948" w:rsidRDefault="009524A5" w:rsidP="009524A5">
      <w:pPr>
        <w:jc w:val="both"/>
        <w:rPr>
          <w:b/>
          <w:color w:val="000000"/>
          <w:sz w:val="22"/>
          <w:szCs w:val="22"/>
          <w:lang w:eastAsia="fr-FR"/>
        </w:rPr>
      </w:pPr>
    </w:p>
    <w:p w14:paraId="3551E945" w14:textId="76C53109" w:rsidR="009524A5" w:rsidRPr="00472948" w:rsidRDefault="009524A5" w:rsidP="009524A5">
      <w:pPr>
        <w:jc w:val="both"/>
        <w:rPr>
          <w:color w:val="000000"/>
          <w:sz w:val="22"/>
          <w:szCs w:val="22"/>
          <w:lang w:eastAsia="fr-FR"/>
        </w:rPr>
      </w:pPr>
      <w:r w:rsidRPr="00472948">
        <w:rPr>
          <w:b/>
          <w:color w:val="000000"/>
          <w:sz w:val="22"/>
          <w:szCs w:val="22"/>
          <w:lang w:eastAsia="fr-FR"/>
        </w:rPr>
        <w:t>Affaire 3 : Ministère Public et Ministè</w:t>
      </w:r>
      <w:r w:rsidR="00874212" w:rsidRPr="00472948">
        <w:rPr>
          <w:b/>
          <w:color w:val="000000"/>
          <w:sz w:val="22"/>
          <w:szCs w:val="22"/>
          <w:lang w:eastAsia="fr-FR"/>
        </w:rPr>
        <w:t>re des Eaux et F</w:t>
      </w:r>
      <w:r w:rsidRPr="00472948">
        <w:rPr>
          <w:b/>
          <w:color w:val="000000"/>
          <w:sz w:val="22"/>
          <w:szCs w:val="22"/>
          <w:lang w:eastAsia="fr-FR"/>
        </w:rPr>
        <w:t>orêts</w:t>
      </w:r>
      <w:r w:rsidR="0075056E" w:rsidRPr="00472948">
        <w:rPr>
          <w:b/>
          <w:color w:val="000000"/>
          <w:sz w:val="22"/>
          <w:szCs w:val="22"/>
          <w:lang w:eastAsia="fr-FR"/>
        </w:rPr>
        <w:t xml:space="preserve"> </w:t>
      </w:r>
      <w:r w:rsidRPr="00472948">
        <w:rPr>
          <w:b/>
          <w:color w:val="000000"/>
          <w:sz w:val="22"/>
          <w:szCs w:val="22"/>
          <w:lang w:eastAsia="fr-FR"/>
        </w:rPr>
        <w:t>contre BOUASSE TRAORE et AYI MINTSA Guy</w:t>
      </w:r>
      <w:r w:rsidR="0075056E" w:rsidRPr="00472948">
        <w:rPr>
          <w:b/>
          <w:color w:val="000000"/>
          <w:sz w:val="22"/>
          <w:szCs w:val="22"/>
          <w:lang w:eastAsia="fr-FR"/>
        </w:rPr>
        <w:t> </w:t>
      </w:r>
      <w:r w:rsidR="0075056E" w:rsidRPr="00472948">
        <w:rPr>
          <w:color w:val="000000"/>
          <w:sz w:val="22"/>
          <w:szCs w:val="22"/>
          <w:lang w:eastAsia="fr-FR"/>
        </w:rPr>
        <w:t>:</w:t>
      </w:r>
      <w:r w:rsidRPr="00472948">
        <w:rPr>
          <w:color w:val="000000"/>
          <w:sz w:val="22"/>
          <w:szCs w:val="22"/>
          <w:lang w:eastAsia="fr-FR"/>
        </w:rPr>
        <w:t xml:space="preserve"> Jugés pour détention, transport et tentative de vente d’ivoire, les mis en cause ont été reconnus coupables de trafic d’ivoire, </w:t>
      </w:r>
      <w:r w:rsidR="00465F53" w:rsidRPr="00472948">
        <w:rPr>
          <w:color w:val="000000"/>
          <w:sz w:val="22"/>
          <w:szCs w:val="22"/>
          <w:lang w:eastAsia="fr-FR"/>
        </w:rPr>
        <w:t>(</w:t>
      </w:r>
      <w:r w:rsidRPr="00472948">
        <w:rPr>
          <w:color w:val="000000"/>
          <w:sz w:val="22"/>
          <w:szCs w:val="22"/>
          <w:lang w:eastAsia="fr-FR"/>
        </w:rPr>
        <w:t>détention, transport et tentative de vente d’ivoire</w:t>
      </w:r>
      <w:r w:rsidR="00465F53" w:rsidRPr="00472948">
        <w:rPr>
          <w:color w:val="000000"/>
          <w:sz w:val="22"/>
          <w:szCs w:val="22"/>
          <w:lang w:eastAsia="fr-FR"/>
        </w:rPr>
        <w:t xml:space="preserve">) </w:t>
      </w:r>
      <w:r w:rsidRPr="00472948">
        <w:rPr>
          <w:color w:val="000000"/>
          <w:sz w:val="22"/>
          <w:szCs w:val="22"/>
          <w:lang w:eastAsia="fr-FR"/>
        </w:rPr>
        <w:t>et condamnés à 2 ans dont un de sursis, 1 000 000 francs CFA pour l’amende et 1 000 000 Francs CFA de dommages-intérêts.</w:t>
      </w:r>
    </w:p>
    <w:p w14:paraId="226ED1C9" w14:textId="77777777" w:rsidR="009524A5" w:rsidRPr="00472948" w:rsidRDefault="009524A5" w:rsidP="009524A5">
      <w:pPr>
        <w:jc w:val="both"/>
        <w:rPr>
          <w:color w:val="000000"/>
          <w:sz w:val="22"/>
          <w:szCs w:val="22"/>
          <w:highlight w:val="yellow"/>
          <w:lang w:eastAsia="fr-FR"/>
        </w:rPr>
      </w:pPr>
    </w:p>
    <w:p w14:paraId="1072DE12" w14:textId="05F7111F" w:rsidR="009524A5" w:rsidRPr="00472948" w:rsidRDefault="009524A5" w:rsidP="009524A5">
      <w:pPr>
        <w:jc w:val="both"/>
        <w:rPr>
          <w:color w:val="000000"/>
          <w:sz w:val="22"/>
          <w:szCs w:val="22"/>
          <w:lang w:eastAsia="fr-FR"/>
        </w:rPr>
      </w:pPr>
      <w:r w:rsidRPr="00472948">
        <w:rPr>
          <w:b/>
          <w:color w:val="000000"/>
          <w:sz w:val="22"/>
          <w:szCs w:val="22"/>
          <w:lang w:eastAsia="fr-FR"/>
        </w:rPr>
        <w:t>Affaire 4 : Min</w:t>
      </w:r>
      <w:r w:rsidR="00874212" w:rsidRPr="00472948">
        <w:rPr>
          <w:b/>
          <w:color w:val="000000"/>
          <w:sz w:val="22"/>
          <w:szCs w:val="22"/>
          <w:lang w:eastAsia="fr-FR"/>
        </w:rPr>
        <w:t>istère Public et Ministère des E</w:t>
      </w:r>
      <w:r w:rsidRPr="00472948">
        <w:rPr>
          <w:b/>
          <w:color w:val="000000"/>
          <w:sz w:val="22"/>
          <w:szCs w:val="22"/>
          <w:lang w:eastAsia="fr-FR"/>
        </w:rPr>
        <w:t>aux et forêts</w:t>
      </w:r>
      <w:r w:rsidR="00874212" w:rsidRPr="00472948">
        <w:rPr>
          <w:b/>
          <w:color w:val="000000"/>
          <w:sz w:val="22"/>
          <w:szCs w:val="22"/>
          <w:lang w:eastAsia="fr-FR"/>
        </w:rPr>
        <w:t xml:space="preserve"> </w:t>
      </w:r>
      <w:r w:rsidRPr="00472948">
        <w:rPr>
          <w:b/>
          <w:color w:val="000000"/>
          <w:sz w:val="22"/>
          <w:szCs w:val="22"/>
          <w:lang w:eastAsia="fr-FR"/>
        </w:rPr>
        <w:t xml:space="preserve">contre MAKAYA Jean </w:t>
      </w:r>
      <w:proofErr w:type="spellStart"/>
      <w:r w:rsidRPr="00472948">
        <w:rPr>
          <w:b/>
          <w:color w:val="000000"/>
          <w:sz w:val="22"/>
          <w:szCs w:val="22"/>
          <w:lang w:eastAsia="fr-FR"/>
        </w:rPr>
        <w:t>Almend</w:t>
      </w:r>
      <w:proofErr w:type="spellEnd"/>
      <w:r w:rsidRPr="00472948">
        <w:rPr>
          <w:b/>
          <w:color w:val="000000"/>
          <w:sz w:val="22"/>
          <w:szCs w:val="22"/>
          <w:lang w:eastAsia="fr-FR"/>
        </w:rPr>
        <w:t> et TIDJANI Idriss Bola-</w:t>
      </w:r>
      <w:proofErr w:type="spellStart"/>
      <w:r w:rsidRPr="00472948">
        <w:rPr>
          <w:b/>
          <w:color w:val="000000"/>
          <w:sz w:val="22"/>
          <w:szCs w:val="22"/>
          <w:lang w:eastAsia="fr-FR"/>
        </w:rPr>
        <w:t>Nle</w:t>
      </w:r>
      <w:proofErr w:type="spellEnd"/>
      <w:r w:rsidRPr="00472948">
        <w:rPr>
          <w:b/>
          <w:color w:val="000000"/>
          <w:sz w:val="22"/>
          <w:szCs w:val="22"/>
          <w:lang w:eastAsia="fr-FR"/>
        </w:rPr>
        <w:t xml:space="preserve"> </w:t>
      </w:r>
      <w:proofErr w:type="spellStart"/>
      <w:r w:rsidRPr="00472948">
        <w:rPr>
          <w:b/>
          <w:color w:val="000000"/>
          <w:sz w:val="22"/>
          <w:szCs w:val="22"/>
          <w:lang w:eastAsia="fr-FR"/>
        </w:rPr>
        <w:t>Aremou</w:t>
      </w:r>
      <w:proofErr w:type="spellEnd"/>
      <w:r w:rsidR="00465F53" w:rsidRPr="00472948">
        <w:rPr>
          <w:b/>
          <w:color w:val="000000"/>
          <w:sz w:val="22"/>
          <w:szCs w:val="22"/>
          <w:lang w:eastAsia="fr-FR"/>
        </w:rPr>
        <w:t> </w:t>
      </w:r>
      <w:r w:rsidR="00465F53" w:rsidRPr="00472948">
        <w:rPr>
          <w:color w:val="000000"/>
          <w:sz w:val="22"/>
          <w:szCs w:val="22"/>
          <w:lang w:eastAsia="fr-FR"/>
        </w:rPr>
        <w:t>:</w:t>
      </w:r>
      <w:r w:rsidRPr="00472948">
        <w:rPr>
          <w:color w:val="000000"/>
          <w:sz w:val="22"/>
          <w:szCs w:val="22"/>
          <w:lang w:eastAsia="fr-FR"/>
        </w:rPr>
        <w:t xml:space="preserve"> Il est reproché aux mis en cause les faits de détention, transport et tentative de vente d’ivoire sans autorisation. L’audience de jugement devant avoir lieu le 31 juillet 2020 a été renvoyée au 7 août 2020. </w:t>
      </w:r>
    </w:p>
    <w:p w14:paraId="21BE080C" w14:textId="77777777" w:rsidR="009524A5" w:rsidRPr="00472948" w:rsidRDefault="009524A5" w:rsidP="009524A5">
      <w:pPr>
        <w:jc w:val="both"/>
        <w:rPr>
          <w:b/>
          <w:sz w:val="22"/>
          <w:szCs w:val="22"/>
        </w:rPr>
      </w:pPr>
    </w:p>
    <w:p w14:paraId="12476DFB" w14:textId="725886A2" w:rsidR="009524A5" w:rsidRPr="00472948" w:rsidRDefault="009524A5" w:rsidP="009524A5">
      <w:pPr>
        <w:jc w:val="both"/>
        <w:rPr>
          <w:color w:val="000000"/>
          <w:sz w:val="22"/>
          <w:szCs w:val="22"/>
          <w:lang w:eastAsia="fr-FR"/>
        </w:rPr>
      </w:pPr>
      <w:r w:rsidRPr="00472948">
        <w:rPr>
          <w:b/>
          <w:color w:val="000000"/>
          <w:sz w:val="22"/>
          <w:szCs w:val="22"/>
          <w:lang w:eastAsia="fr-FR"/>
        </w:rPr>
        <w:t>Affaire 5 : Ministère Public e</w:t>
      </w:r>
      <w:r w:rsidR="00874212" w:rsidRPr="00472948">
        <w:rPr>
          <w:b/>
          <w:color w:val="000000"/>
          <w:sz w:val="22"/>
          <w:szCs w:val="22"/>
          <w:lang w:eastAsia="fr-FR"/>
        </w:rPr>
        <w:t>t Ministère des Eaux et F</w:t>
      </w:r>
      <w:r w:rsidRPr="00472948">
        <w:rPr>
          <w:b/>
          <w:color w:val="000000"/>
          <w:sz w:val="22"/>
          <w:szCs w:val="22"/>
          <w:lang w:eastAsia="fr-FR"/>
        </w:rPr>
        <w:t>orêts</w:t>
      </w:r>
      <w:r w:rsidR="00874212" w:rsidRPr="00472948">
        <w:rPr>
          <w:b/>
          <w:color w:val="000000"/>
          <w:sz w:val="22"/>
          <w:szCs w:val="22"/>
          <w:lang w:eastAsia="fr-FR"/>
        </w:rPr>
        <w:t xml:space="preserve"> </w:t>
      </w:r>
      <w:r w:rsidRPr="00472948">
        <w:rPr>
          <w:b/>
          <w:color w:val="000000"/>
          <w:sz w:val="22"/>
          <w:szCs w:val="22"/>
          <w:lang w:eastAsia="fr-FR"/>
        </w:rPr>
        <w:t xml:space="preserve">contre </w:t>
      </w:r>
      <w:r w:rsidR="00874212" w:rsidRPr="00472948">
        <w:rPr>
          <w:b/>
          <w:color w:val="000000"/>
          <w:sz w:val="22"/>
          <w:szCs w:val="22"/>
          <w:lang w:eastAsia="fr-FR"/>
        </w:rPr>
        <w:t xml:space="preserve">les </w:t>
      </w:r>
      <w:r w:rsidRPr="00472948">
        <w:rPr>
          <w:b/>
          <w:sz w:val="22"/>
          <w:szCs w:val="22"/>
        </w:rPr>
        <w:t xml:space="preserve">nommés KOUMBA Jeanne, MONDJO </w:t>
      </w:r>
      <w:proofErr w:type="spellStart"/>
      <w:r w:rsidRPr="00472948">
        <w:rPr>
          <w:b/>
          <w:sz w:val="22"/>
          <w:szCs w:val="22"/>
        </w:rPr>
        <w:t>Golsman</w:t>
      </w:r>
      <w:proofErr w:type="spellEnd"/>
      <w:r w:rsidRPr="00472948">
        <w:rPr>
          <w:b/>
          <w:sz w:val="22"/>
          <w:szCs w:val="22"/>
        </w:rPr>
        <w:t xml:space="preserve"> et ABDOULAYE GUETIKILA</w:t>
      </w:r>
      <w:r w:rsidR="00874212" w:rsidRPr="00472948">
        <w:rPr>
          <w:b/>
          <w:sz w:val="22"/>
          <w:szCs w:val="22"/>
        </w:rPr>
        <w:t> </w:t>
      </w:r>
      <w:r w:rsidR="00874212" w:rsidRPr="00472948">
        <w:rPr>
          <w:b/>
          <w:color w:val="000000"/>
          <w:sz w:val="22"/>
          <w:szCs w:val="22"/>
          <w:lang w:eastAsia="fr-FR"/>
        </w:rPr>
        <w:t xml:space="preserve">: </w:t>
      </w:r>
      <w:r w:rsidRPr="00472948">
        <w:rPr>
          <w:color w:val="000000"/>
          <w:sz w:val="22"/>
          <w:szCs w:val="22"/>
          <w:lang w:eastAsia="fr-FR"/>
        </w:rPr>
        <w:t xml:space="preserve">Il est reproché aux mis en cause les faits de détention, transport et tentative de vente d’ivoire sans autorisation. L’audience de jugement devant avoir lieu le 31 juillet 2020 a été renvoyée au 7 août 2020. </w:t>
      </w:r>
    </w:p>
    <w:p w14:paraId="595303CF" w14:textId="77777777" w:rsidR="009524A5" w:rsidRPr="00472948" w:rsidRDefault="009524A5" w:rsidP="009524A5">
      <w:pPr>
        <w:jc w:val="both"/>
        <w:rPr>
          <w:color w:val="000000"/>
          <w:sz w:val="22"/>
          <w:szCs w:val="22"/>
          <w:highlight w:val="yellow"/>
          <w:lang w:eastAsia="fr-FR"/>
        </w:rPr>
      </w:pPr>
    </w:p>
    <w:p w14:paraId="60C5FCEE" w14:textId="4931F3C8" w:rsidR="009524A5" w:rsidRPr="00472948" w:rsidRDefault="009524A5" w:rsidP="009524A5">
      <w:pPr>
        <w:jc w:val="both"/>
        <w:rPr>
          <w:color w:val="222222"/>
          <w:sz w:val="22"/>
          <w:szCs w:val="22"/>
          <w:lang w:eastAsia="fr-FR"/>
        </w:rPr>
      </w:pPr>
      <w:r w:rsidRPr="00472948">
        <w:rPr>
          <w:b/>
          <w:color w:val="000000"/>
          <w:sz w:val="22"/>
          <w:szCs w:val="22"/>
          <w:lang w:eastAsia="fr-FR"/>
        </w:rPr>
        <w:t xml:space="preserve">Affaire 6 : Ministère Public et </w:t>
      </w:r>
      <w:r w:rsidR="00B5728D" w:rsidRPr="00472948">
        <w:rPr>
          <w:b/>
          <w:color w:val="000000"/>
          <w:sz w:val="22"/>
          <w:szCs w:val="22"/>
          <w:lang w:eastAsia="fr-FR"/>
        </w:rPr>
        <w:t xml:space="preserve">Ministère des Eaux et Forêts contre </w:t>
      </w:r>
      <w:r w:rsidRPr="00472948">
        <w:rPr>
          <w:b/>
          <w:color w:val="222222"/>
          <w:sz w:val="22"/>
          <w:szCs w:val="22"/>
        </w:rPr>
        <w:t>MAYOMBO NDOUMA Georges</w:t>
      </w:r>
      <w:r w:rsidRPr="00472948">
        <w:rPr>
          <w:color w:val="222222"/>
          <w:sz w:val="22"/>
          <w:szCs w:val="22"/>
        </w:rPr>
        <w:t>. Poursuivi le seul par le parquet de la République pour avoir chassé une panthère. Il sera reconnu coupable des faits de chasse d’une espèce intégralement protégée et condamné à 6 mois de prison ferme. La peine prononcée ayant couvert le temps de détention préventive, le mandat de dépôt qui avait été décerné contre lui a été levé. Il a donc été libéré mais devrait payer 200 000 francs CFA d'amende.</w:t>
      </w:r>
    </w:p>
    <w:p w14:paraId="26852369" w14:textId="77777777" w:rsidR="009524A5" w:rsidRPr="00472948" w:rsidRDefault="009524A5" w:rsidP="009524A5">
      <w:pPr>
        <w:jc w:val="both"/>
        <w:rPr>
          <w:color w:val="222222"/>
          <w:sz w:val="22"/>
          <w:szCs w:val="22"/>
          <w:highlight w:val="yellow"/>
          <w:lang w:eastAsia="fr-FR"/>
        </w:rPr>
      </w:pPr>
    </w:p>
    <w:p w14:paraId="5CAC2AAA" w14:textId="77777777" w:rsidR="009524A5" w:rsidRPr="00472948" w:rsidRDefault="009524A5" w:rsidP="009524A5">
      <w:pPr>
        <w:jc w:val="both"/>
        <w:rPr>
          <w:rStyle w:val="Accentuation"/>
          <w:i w:val="0"/>
          <w:iCs w:val="0"/>
          <w:color w:val="222222"/>
          <w:sz w:val="22"/>
          <w:szCs w:val="22"/>
          <w:lang w:eastAsia="fr-FR"/>
        </w:rPr>
      </w:pPr>
      <w:r w:rsidRPr="00472948">
        <w:rPr>
          <w:b/>
          <w:color w:val="000000"/>
          <w:sz w:val="22"/>
          <w:szCs w:val="22"/>
          <w:lang w:eastAsia="fr-FR"/>
        </w:rPr>
        <w:t>Affaire 7 : Ministère Public et Ministère</w:t>
      </w:r>
      <w:r w:rsidR="00C27603" w:rsidRPr="00472948">
        <w:rPr>
          <w:b/>
          <w:color w:val="000000"/>
          <w:sz w:val="22"/>
          <w:szCs w:val="22"/>
          <w:lang w:eastAsia="fr-FR"/>
        </w:rPr>
        <w:t xml:space="preserve"> </w:t>
      </w:r>
      <w:r w:rsidR="00B23C26" w:rsidRPr="00472948">
        <w:rPr>
          <w:b/>
          <w:color w:val="000000"/>
          <w:sz w:val="22"/>
          <w:szCs w:val="22"/>
          <w:lang w:eastAsia="fr-FR"/>
        </w:rPr>
        <w:t xml:space="preserve">des </w:t>
      </w:r>
      <w:r w:rsidR="00C27603" w:rsidRPr="00472948">
        <w:rPr>
          <w:b/>
          <w:color w:val="000000"/>
          <w:sz w:val="22"/>
          <w:szCs w:val="22"/>
          <w:lang w:eastAsia="fr-FR"/>
        </w:rPr>
        <w:t>Eaux et Forêts</w:t>
      </w:r>
      <w:r w:rsidRPr="00472948">
        <w:rPr>
          <w:b/>
          <w:color w:val="000000"/>
          <w:sz w:val="22"/>
          <w:szCs w:val="22"/>
          <w:lang w:eastAsia="fr-FR"/>
        </w:rPr>
        <w:t xml:space="preserve"> contre</w:t>
      </w:r>
      <w:r w:rsidR="00B23C26" w:rsidRPr="00472948">
        <w:rPr>
          <w:b/>
          <w:color w:val="000000"/>
          <w:sz w:val="22"/>
          <w:szCs w:val="22"/>
          <w:lang w:eastAsia="fr-FR"/>
        </w:rPr>
        <w:t xml:space="preserve"> </w:t>
      </w:r>
      <w:r w:rsidRPr="00472948">
        <w:rPr>
          <w:b/>
          <w:color w:val="222222"/>
          <w:sz w:val="22"/>
          <w:szCs w:val="22"/>
        </w:rPr>
        <w:t>NTOUTOUME ABESSOLO Jean Jules</w:t>
      </w:r>
      <w:r w:rsidRPr="00472948">
        <w:rPr>
          <w:color w:val="222222"/>
          <w:sz w:val="22"/>
          <w:szCs w:val="22"/>
        </w:rPr>
        <w:t xml:space="preserve">. Poursuivi par le seul parquet de la République pour avoir chassé un éléphant et détenir l’ivoire et une arme à feu illégalement, il sera reconnu coupable des faits de détention d’ivoire et détention illégale d’arme à feu et condamné à 24 mois de prison dont 12 avec sursis outre l'amende </w:t>
      </w:r>
      <w:r w:rsidR="00B23C26" w:rsidRPr="00472948">
        <w:rPr>
          <w:color w:val="222222"/>
          <w:sz w:val="22"/>
          <w:szCs w:val="22"/>
        </w:rPr>
        <w:t xml:space="preserve">qui </w:t>
      </w:r>
      <w:r w:rsidRPr="00472948">
        <w:rPr>
          <w:color w:val="222222"/>
          <w:sz w:val="22"/>
          <w:szCs w:val="22"/>
        </w:rPr>
        <w:t>s'élève à 50 000 francs CFA.</w:t>
      </w:r>
    </w:p>
    <w:p w14:paraId="53EDAC73" w14:textId="77777777" w:rsidR="00306FD5" w:rsidRPr="00472948" w:rsidRDefault="00B3415C" w:rsidP="00306FD5">
      <w:pPr>
        <w:spacing w:before="120" w:after="120" w:line="276" w:lineRule="auto"/>
        <w:jc w:val="both"/>
        <w:rPr>
          <w:rStyle w:val="Accentuation"/>
          <w:b/>
          <w:i w:val="0"/>
          <w:sz w:val="22"/>
          <w:szCs w:val="22"/>
        </w:rPr>
      </w:pPr>
      <w:r w:rsidRPr="00472948">
        <w:rPr>
          <w:rStyle w:val="Accentuation"/>
          <w:b/>
          <w:i w:val="0"/>
          <w:sz w:val="22"/>
          <w:szCs w:val="22"/>
        </w:rPr>
        <w:t>4.2. Visites de prison</w:t>
      </w:r>
    </w:p>
    <w:p w14:paraId="5FFD98CF" w14:textId="77777777" w:rsidR="00306FD5" w:rsidRPr="00472948" w:rsidRDefault="00306FD5" w:rsidP="00306FD5">
      <w:pPr>
        <w:spacing w:after="240"/>
        <w:jc w:val="both"/>
        <w:rPr>
          <w:rStyle w:val="Accentuation"/>
          <w:i w:val="0"/>
          <w:sz w:val="22"/>
          <w:szCs w:val="22"/>
        </w:rPr>
      </w:pPr>
      <w:proofErr w:type="gramStart"/>
      <w:r w:rsidRPr="00472948">
        <w:rPr>
          <w:rStyle w:val="Accentuation"/>
          <w:sz w:val="22"/>
          <w:szCs w:val="22"/>
        </w:rPr>
        <w:t>Indicateur:</w:t>
      </w:r>
      <w:proofErr w:type="gramEnd"/>
    </w:p>
    <w:tbl>
      <w:tblPr>
        <w:tblStyle w:val="Grilledetableauclaire1"/>
        <w:tblW w:w="9208" w:type="dxa"/>
        <w:tblLook w:val="04A0" w:firstRow="1" w:lastRow="0" w:firstColumn="1" w:lastColumn="0" w:noHBand="0" w:noVBand="1"/>
      </w:tblPr>
      <w:tblGrid>
        <w:gridCol w:w="4531"/>
        <w:gridCol w:w="4677"/>
      </w:tblGrid>
      <w:tr w:rsidR="00306FD5" w:rsidRPr="00472948" w14:paraId="79BC9726" w14:textId="77777777" w:rsidTr="000B5D2B">
        <w:trPr>
          <w:trHeight w:val="262"/>
        </w:trPr>
        <w:tc>
          <w:tcPr>
            <w:tcW w:w="4531" w:type="dxa"/>
          </w:tcPr>
          <w:p w14:paraId="1EDC1FA8" w14:textId="77777777" w:rsidR="00306FD5" w:rsidRPr="00472948" w:rsidRDefault="00306FD5" w:rsidP="000B5D2B">
            <w:pPr>
              <w:jc w:val="both"/>
              <w:rPr>
                <w:rStyle w:val="Accentuation"/>
                <w:i w:val="0"/>
                <w:sz w:val="22"/>
                <w:szCs w:val="22"/>
              </w:rPr>
            </w:pPr>
            <w:r w:rsidRPr="00472948">
              <w:rPr>
                <w:rStyle w:val="Accentuation"/>
                <w:sz w:val="22"/>
                <w:szCs w:val="22"/>
              </w:rPr>
              <w:t>Nombre de visites effectuées</w:t>
            </w:r>
          </w:p>
        </w:tc>
        <w:tc>
          <w:tcPr>
            <w:tcW w:w="4677" w:type="dxa"/>
          </w:tcPr>
          <w:p w14:paraId="7DB73D6E" w14:textId="77777777" w:rsidR="00306FD5" w:rsidRPr="00472948" w:rsidRDefault="00306FD5" w:rsidP="00BE04BF">
            <w:pPr>
              <w:jc w:val="center"/>
              <w:rPr>
                <w:rStyle w:val="Accentuation"/>
                <w:i w:val="0"/>
                <w:sz w:val="22"/>
                <w:szCs w:val="22"/>
              </w:rPr>
            </w:pPr>
            <w:r w:rsidRPr="00472948">
              <w:rPr>
                <w:rStyle w:val="Accentuation"/>
                <w:sz w:val="22"/>
                <w:szCs w:val="22"/>
              </w:rPr>
              <w:t>0</w:t>
            </w:r>
            <w:r w:rsidR="00BE04BF" w:rsidRPr="00472948">
              <w:rPr>
                <w:rStyle w:val="Accentuation"/>
                <w:sz w:val="22"/>
                <w:szCs w:val="22"/>
              </w:rPr>
              <w:t>0</w:t>
            </w:r>
          </w:p>
        </w:tc>
      </w:tr>
      <w:tr w:rsidR="00306FD5" w:rsidRPr="00472948" w14:paraId="48C78F60" w14:textId="77777777" w:rsidTr="000B5D2B">
        <w:trPr>
          <w:trHeight w:val="262"/>
        </w:trPr>
        <w:tc>
          <w:tcPr>
            <w:tcW w:w="4531" w:type="dxa"/>
          </w:tcPr>
          <w:p w14:paraId="52FF861D" w14:textId="77777777" w:rsidR="00306FD5" w:rsidRPr="00472948" w:rsidRDefault="00306FD5" w:rsidP="000B5D2B">
            <w:pPr>
              <w:jc w:val="both"/>
              <w:rPr>
                <w:rStyle w:val="Accentuation"/>
                <w:i w:val="0"/>
                <w:sz w:val="22"/>
                <w:szCs w:val="22"/>
              </w:rPr>
            </w:pPr>
            <w:r w:rsidRPr="00472948">
              <w:rPr>
                <w:rStyle w:val="Accentuation"/>
                <w:sz w:val="22"/>
                <w:szCs w:val="22"/>
              </w:rPr>
              <w:t>Nombre de détenus rencontrés</w:t>
            </w:r>
          </w:p>
        </w:tc>
        <w:tc>
          <w:tcPr>
            <w:tcW w:w="4677" w:type="dxa"/>
          </w:tcPr>
          <w:p w14:paraId="2FC8E35F" w14:textId="77777777" w:rsidR="00306FD5" w:rsidRPr="00472948" w:rsidRDefault="0035316B" w:rsidP="00BE04BF">
            <w:pPr>
              <w:jc w:val="center"/>
              <w:rPr>
                <w:rStyle w:val="Accentuation"/>
                <w:i w:val="0"/>
                <w:sz w:val="22"/>
                <w:szCs w:val="22"/>
              </w:rPr>
            </w:pPr>
            <w:r w:rsidRPr="00472948">
              <w:rPr>
                <w:rStyle w:val="Accentuation"/>
                <w:sz w:val="22"/>
                <w:szCs w:val="22"/>
              </w:rPr>
              <w:t>0</w:t>
            </w:r>
            <w:r w:rsidR="00BE04BF" w:rsidRPr="00472948">
              <w:rPr>
                <w:rStyle w:val="Accentuation"/>
                <w:sz w:val="22"/>
                <w:szCs w:val="22"/>
              </w:rPr>
              <w:t>0</w:t>
            </w:r>
          </w:p>
        </w:tc>
      </w:tr>
    </w:tbl>
    <w:p w14:paraId="2AD423E1" w14:textId="77777777" w:rsidR="00433BED" w:rsidRDefault="00433BED" w:rsidP="00613296">
      <w:pPr>
        <w:jc w:val="both"/>
        <w:rPr>
          <w:rStyle w:val="Accentuation"/>
          <w:sz w:val="22"/>
          <w:szCs w:val="22"/>
        </w:rPr>
      </w:pPr>
    </w:p>
    <w:p w14:paraId="27712596" w14:textId="77777777" w:rsidR="00613296" w:rsidRPr="00472948" w:rsidRDefault="00613296" w:rsidP="00613296">
      <w:pPr>
        <w:jc w:val="both"/>
        <w:rPr>
          <w:rStyle w:val="Accentuation"/>
          <w:sz w:val="22"/>
          <w:szCs w:val="22"/>
        </w:rPr>
      </w:pPr>
      <w:r w:rsidRPr="00472948">
        <w:rPr>
          <w:rStyle w:val="Accentuation"/>
          <w:sz w:val="22"/>
          <w:szCs w:val="22"/>
        </w:rPr>
        <w:t>A cause de la pandémie, il n’y a pas eu de visites de prison seules les visites des gardés en vue ont été effectuées avant d’être présentés et placés en détention préventive.</w:t>
      </w:r>
    </w:p>
    <w:p w14:paraId="3ABBC3D5" w14:textId="77777777" w:rsidR="00472948" w:rsidRPr="00472948" w:rsidRDefault="00472948" w:rsidP="00613296">
      <w:pPr>
        <w:jc w:val="both"/>
        <w:rPr>
          <w:rStyle w:val="Accentuation"/>
          <w:sz w:val="22"/>
          <w:szCs w:val="22"/>
        </w:rPr>
      </w:pPr>
    </w:p>
    <w:p w14:paraId="5054A223" w14:textId="77777777" w:rsidR="00472948" w:rsidRDefault="00472948" w:rsidP="00613296">
      <w:pPr>
        <w:jc w:val="both"/>
        <w:rPr>
          <w:rStyle w:val="Accentuation"/>
          <w:sz w:val="22"/>
          <w:szCs w:val="22"/>
        </w:rPr>
      </w:pPr>
    </w:p>
    <w:p w14:paraId="59DCF7CC" w14:textId="77777777" w:rsidR="00613296" w:rsidRPr="00472948" w:rsidRDefault="00613296" w:rsidP="00613296">
      <w:pPr>
        <w:jc w:val="both"/>
        <w:rPr>
          <w:rStyle w:val="Accentuation"/>
          <w:i w:val="0"/>
          <w:sz w:val="22"/>
          <w:szCs w:val="22"/>
        </w:rPr>
      </w:pPr>
    </w:p>
    <w:p w14:paraId="0D1B3A35" w14:textId="77777777" w:rsidR="000B7079" w:rsidRPr="00472948" w:rsidRDefault="000B7079" w:rsidP="000B7079">
      <w:pPr>
        <w:pStyle w:val="Titre1"/>
        <w:shd w:val="clear" w:color="auto" w:fill="000000" w:themeFill="text1"/>
        <w:jc w:val="both"/>
        <w:rPr>
          <w:rStyle w:val="Accentuation"/>
          <w:i w:val="0"/>
          <w:sz w:val="22"/>
          <w:szCs w:val="22"/>
        </w:rPr>
      </w:pPr>
      <w:r w:rsidRPr="00472948">
        <w:rPr>
          <w:rStyle w:val="Accentuation"/>
          <w:sz w:val="22"/>
          <w:szCs w:val="22"/>
        </w:rPr>
        <w:t>Communication</w:t>
      </w:r>
      <w:bookmarkEnd w:id="5"/>
    </w:p>
    <w:p w14:paraId="6894C8B6" w14:textId="77777777" w:rsidR="000B7079" w:rsidRPr="00472948" w:rsidRDefault="000B7079" w:rsidP="000B7079">
      <w:pPr>
        <w:jc w:val="both"/>
        <w:rPr>
          <w:rStyle w:val="Accentuation"/>
          <w:i w:val="0"/>
          <w:sz w:val="22"/>
          <w:szCs w:val="22"/>
        </w:rPr>
      </w:pPr>
    </w:p>
    <w:p w14:paraId="2EE4D692" w14:textId="77777777" w:rsidR="000B7079" w:rsidRPr="00472948" w:rsidRDefault="000B7079" w:rsidP="000B7079">
      <w:pPr>
        <w:spacing w:after="240"/>
        <w:jc w:val="both"/>
        <w:rPr>
          <w:rStyle w:val="Accentuation"/>
          <w:i w:val="0"/>
          <w:sz w:val="22"/>
          <w:szCs w:val="22"/>
        </w:rPr>
      </w:pPr>
      <w:proofErr w:type="gramStart"/>
      <w:r w:rsidRPr="00472948">
        <w:rPr>
          <w:rStyle w:val="Accentuation"/>
          <w:sz w:val="22"/>
          <w:szCs w:val="22"/>
        </w:rPr>
        <w:t>Indicateur:</w:t>
      </w:r>
      <w:proofErr w:type="gramEnd"/>
    </w:p>
    <w:tbl>
      <w:tblPr>
        <w:tblStyle w:val="Grilledetableauclaire1"/>
        <w:tblW w:w="8897" w:type="dxa"/>
        <w:tblLook w:val="04A0" w:firstRow="1" w:lastRow="0" w:firstColumn="1" w:lastColumn="0" w:noHBand="0" w:noVBand="1"/>
      </w:tblPr>
      <w:tblGrid>
        <w:gridCol w:w="4606"/>
        <w:gridCol w:w="4291"/>
      </w:tblGrid>
      <w:tr w:rsidR="000B7079" w:rsidRPr="00472948" w14:paraId="4AECA2ED" w14:textId="77777777" w:rsidTr="000F4C8D">
        <w:trPr>
          <w:trHeight w:val="81"/>
        </w:trPr>
        <w:tc>
          <w:tcPr>
            <w:tcW w:w="4606" w:type="dxa"/>
          </w:tcPr>
          <w:p w14:paraId="1C085A76" w14:textId="77777777" w:rsidR="000B7079" w:rsidRPr="00472948" w:rsidRDefault="000B7079" w:rsidP="000F4C8D">
            <w:pPr>
              <w:jc w:val="both"/>
              <w:rPr>
                <w:rStyle w:val="Accentuation"/>
                <w:i w:val="0"/>
                <w:sz w:val="22"/>
                <w:szCs w:val="22"/>
              </w:rPr>
            </w:pPr>
            <w:r w:rsidRPr="00472948">
              <w:rPr>
                <w:rStyle w:val="Accentuation"/>
                <w:sz w:val="22"/>
                <w:szCs w:val="22"/>
              </w:rPr>
              <w:t>Nombre de pièces publiées</w:t>
            </w:r>
          </w:p>
        </w:tc>
        <w:tc>
          <w:tcPr>
            <w:tcW w:w="4291" w:type="dxa"/>
          </w:tcPr>
          <w:p w14:paraId="078315EC" w14:textId="77777777" w:rsidR="000B7079" w:rsidRPr="00472948" w:rsidRDefault="001B060D" w:rsidP="00561F21">
            <w:pPr>
              <w:jc w:val="center"/>
              <w:rPr>
                <w:rStyle w:val="Accentuation"/>
                <w:sz w:val="22"/>
                <w:szCs w:val="22"/>
              </w:rPr>
            </w:pPr>
            <w:r w:rsidRPr="00472948">
              <w:rPr>
                <w:rStyle w:val="Accentuation"/>
                <w:sz w:val="22"/>
                <w:szCs w:val="22"/>
              </w:rPr>
              <w:t>34</w:t>
            </w:r>
          </w:p>
        </w:tc>
      </w:tr>
      <w:tr w:rsidR="000B7079" w:rsidRPr="00472948" w14:paraId="01B8FD5F" w14:textId="77777777" w:rsidTr="000F4C8D">
        <w:trPr>
          <w:trHeight w:val="272"/>
        </w:trPr>
        <w:tc>
          <w:tcPr>
            <w:tcW w:w="4606" w:type="dxa"/>
          </w:tcPr>
          <w:p w14:paraId="73332DAB" w14:textId="77777777" w:rsidR="000B7079" w:rsidRPr="00472948" w:rsidRDefault="000B7079" w:rsidP="000F4C8D">
            <w:pPr>
              <w:jc w:val="both"/>
              <w:rPr>
                <w:rStyle w:val="Accentuation"/>
                <w:i w:val="0"/>
                <w:sz w:val="22"/>
                <w:szCs w:val="22"/>
              </w:rPr>
            </w:pPr>
            <w:r w:rsidRPr="00472948">
              <w:rPr>
                <w:rStyle w:val="Accentuation"/>
                <w:sz w:val="22"/>
                <w:szCs w:val="22"/>
              </w:rPr>
              <w:t>Télévision</w:t>
            </w:r>
          </w:p>
        </w:tc>
        <w:tc>
          <w:tcPr>
            <w:tcW w:w="4291" w:type="dxa"/>
          </w:tcPr>
          <w:p w14:paraId="0D6BF595" w14:textId="77777777" w:rsidR="000B7079" w:rsidRPr="00472948" w:rsidRDefault="00C11C47" w:rsidP="001B060D">
            <w:pPr>
              <w:jc w:val="center"/>
              <w:rPr>
                <w:rStyle w:val="Accentuation"/>
                <w:sz w:val="22"/>
                <w:szCs w:val="22"/>
              </w:rPr>
            </w:pPr>
            <w:r w:rsidRPr="00472948">
              <w:rPr>
                <w:rStyle w:val="Accentuation"/>
                <w:sz w:val="22"/>
                <w:szCs w:val="22"/>
              </w:rPr>
              <w:t>0</w:t>
            </w:r>
            <w:r w:rsidR="001B060D" w:rsidRPr="00472948">
              <w:rPr>
                <w:rStyle w:val="Accentuation"/>
                <w:sz w:val="22"/>
                <w:szCs w:val="22"/>
              </w:rPr>
              <w:t>5</w:t>
            </w:r>
          </w:p>
        </w:tc>
      </w:tr>
      <w:tr w:rsidR="000B7079" w:rsidRPr="00472948" w14:paraId="5A8D9737" w14:textId="77777777" w:rsidTr="000F4C8D">
        <w:trPr>
          <w:trHeight w:val="272"/>
        </w:trPr>
        <w:tc>
          <w:tcPr>
            <w:tcW w:w="4606" w:type="dxa"/>
          </w:tcPr>
          <w:p w14:paraId="30DCC761" w14:textId="77777777" w:rsidR="000B7079" w:rsidRPr="00472948" w:rsidRDefault="000B7079" w:rsidP="000F4C8D">
            <w:pPr>
              <w:jc w:val="both"/>
              <w:rPr>
                <w:rStyle w:val="Accentuation"/>
                <w:i w:val="0"/>
                <w:sz w:val="22"/>
                <w:szCs w:val="22"/>
              </w:rPr>
            </w:pPr>
            <w:r w:rsidRPr="00472948">
              <w:rPr>
                <w:rStyle w:val="Accentuation"/>
                <w:sz w:val="22"/>
                <w:szCs w:val="22"/>
              </w:rPr>
              <w:t>Internet</w:t>
            </w:r>
          </w:p>
        </w:tc>
        <w:tc>
          <w:tcPr>
            <w:tcW w:w="4291" w:type="dxa"/>
          </w:tcPr>
          <w:p w14:paraId="20D9B1FA" w14:textId="77777777" w:rsidR="000B7079" w:rsidRPr="00472948" w:rsidRDefault="001B060D" w:rsidP="000F4C8D">
            <w:pPr>
              <w:jc w:val="center"/>
              <w:rPr>
                <w:rStyle w:val="Accentuation"/>
                <w:sz w:val="22"/>
                <w:szCs w:val="22"/>
              </w:rPr>
            </w:pPr>
            <w:r w:rsidRPr="00472948">
              <w:rPr>
                <w:rStyle w:val="Accentuation"/>
                <w:sz w:val="22"/>
                <w:szCs w:val="22"/>
              </w:rPr>
              <w:t>19</w:t>
            </w:r>
          </w:p>
        </w:tc>
      </w:tr>
      <w:tr w:rsidR="000B7079" w:rsidRPr="00472948" w14:paraId="00C56678" w14:textId="77777777" w:rsidTr="000F4C8D">
        <w:trPr>
          <w:trHeight w:val="272"/>
        </w:trPr>
        <w:tc>
          <w:tcPr>
            <w:tcW w:w="4606" w:type="dxa"/>
          </w:tcPr>
          <w:p w14:paraId="04EEF931" w14:textId="77777777" w:rsidR="000B7079" w:rsidRPr="00472948" w:rsidRDefault="000B7079" w:rsidP="000F4C8D">
            <w:pPr>
              <w:jc w:val="both"/>
              <w:rPr>
                <w:rStyle w:val="Accentuation"/>
                <w:i w:val="0"/>
                <w:sz w:val="22"/>
                <w:szCs w:val="22"/>
              </w:rPr>
            </w:pPr>
            <w:r w:rsidRPr="00472948">
              <w:rPr>
                <w:rStyle w:val="Accentuation"/>
                <w:sz w:val="22"/>
                <w:szCs w:val="22"/>
              </w:rPr>
              <w:lastRenderedPageBreak/>
              <w:t>Presse écrite</w:t>
            </w:r>
          </w:p>
        </w:tc>
        <w:tc>
          <w:tcPr>
            <w:tcW w:w="4291" w:type="dxa"/>
          </w:tcPr>
          <w:p w14:paraId="5EDA88F7" w14:textId="77777777" w:rsidR="000B7079" w:rsidRPr="00472948" w:rsidRDefault="00C11C47" w:rsidP="001B060D">
            <w:pPr>
              <w:jc w:val="center"/>
              <w:rPr>
                <w:rStyle w:val="Accentuation"/>
                <w:sz w:val="22"/>
                <w:szCs w:val="22"/>
              </w:rPr>
            </w:pPr>
            <w:r w:rsidRPr="00472948">
              <w:rPr>
                <w:rStyle w:val="Accentuation"/>
                <w:sz w:val="22"/>
                <w:szCs w:val="22"/>
              </w:rPr>
              <w:t>0</w:t>
            </w:r>
            <w:r w:rsidR="001B060D" w:rsidRPr="00472948">
              <w:rPr>
                <w:rStyle w:val="Accentuation"/>
                <w:sz w:val="22"/>
                <w:szCs w:val="22"/>
              </w:rPr>
              <w:t>6</w:t>
            </w:r>
          </w:p>
        </w:tc>
      </w:tr>
      <w:tr w:rsidR="000B7079" w:rsidRPr="00472948" w14:paraId="4F953BF8" w14:textId="77777777" w:rsidTr="000F4C8D">
        <w:trPr>
          <w:trHeight w:val="272"/>
        </w:trPr>
        <w:tc>
          <w:tcPr>
            <w:tcW w:w="4606" w:type="dxa"/>
          </w:tcPr>
          <w:p w14:paraId="2FF8AAF0" w14:textId="77777777" w:rsidR="000B7079" w:rsidRPr="00472948" w:rsidRDefault="000B7079" w:rsidP="000F4C8D">
            <w:pPr>
              <w:jc w:val="both"/>
              <w:rPr>
                <w:rStyle w:val="Accentuation"/>
                <w:i w:val="0"/>
                <w:sz w:val="22"/>
                <w:szCs w:val="22"/>
              </w:rPr>
            </w:pPr>
            <w:r w:rsidRPr="00472948">
              <w:rPr>
                <w:rStyle w:val="Accentuation"/>
                <w:sz w:val="22"/>
                <w:szCs w:val="22"/>
              </w:rPr>
              <w:t>Radio</w:t>
            </w:r>
          </w:p>
        </w:tc>
        <w:tc>
          <w:tcPr>
            <w:tcW w:w="4291" w:type="dxa"/>
          </w:tcPr>
          <w:p w14:paraId="71C28C82" w14:textId="77777777" w:rsidR="000B7079" w:rsidRPr="00472948" w:rsidRDefault="00C11C47" w:rsidP="001B060D">
            <w:pPr>
              <w:jc w:val="center"/>
              <w:rPr>
                <w:rStyle w:val="Accentuation"/>
                <w:sz w:val="22"/>
                <w:szCs w:val="22"/>
              </w:rPr>
            </w:pPr>
            <w:r w:rsidRPr="00472948">
              <w:rPr>
                <w:rStyle w:val="Accentuation"/>
                <w:sz w:val="22"/>
                <w:szCs w:val="22"/>
              </w:rPr>
              <w:t>0</w:t>
            </w:r>
            <w:r w:rsidR="001B060D" w:rsidRPr="00472948">
              <w:rPr>
                <w:rStyle w:val="Accentuation"/>
                <w:sz w:val="22"/>
                <w:szCs w:val="22"/>
              </w:rPr>
              <w:t>4</w:t>
            </w:r>
          </w:p>
        </w:tc>
      </w:tr>
    </w:tbl>
    <w:p w14:paraId="2B2A6825" w14:textId="77777777" w:rsidR="00451D75" w:rsidRPr="00472948" w:rsidRDefault="00451D75" w:rsidP="00BE0A39">
      <w:pPr>
        <w:spacing w:line="276" w:lineRule="auto"/>
        <w:jc w:val="both"/>
        <w:rPr>
          <w:rStyle w:val="Accentuation"/>
          <w:i w:val="0"/>
          <w:sz w:val="22"/>
          <w:szCs w:val="22"/>
        </w:rPr>
      </w:pPr>
    </w:p>
    <w:p w14:paraId="14EA1F1F" w14:textId="77777777" w:rsidR="003914F2" w:rsidRPr="00472948" w:rsidRDefault="00613296" w:rsidP="00BE0A39">
      <w:pPr>
        <w:spacing w:line="276" w:lineRule="auto"/>
        <w:jc w:val="both"/>
        <w:rPr>
          <w:rStyle w:val="Accentuation"/>
          <w:sz w:val="22"/>
          <w:szCs w:val="22"/>
          <w:lang w:val="fr-BE"/>
        </w:rPr>
      </w:pPr>
      <w:r w:rsidRPr="00472948">
        <w:rPr>
          <w:rStyle w:val="Accentuation"/>
          <w:sz w:val="22"/>
          <w:szCs w:val="22"/>
          <w:lang w:val="fr-BE"/>
        </w:rPr>
        <w:t>Pour ce mois de juillet, le projet a produit 34 pièces médiatiques, dont 19 ont été publiées sur internet, 4</w:t>
      </w:r>
      <w:r w:rsidR="001B060D" w:rsidRPr="00472948">
        <w:rPr>
          <w:rStyle w:val="Accentuation"/>
          <w:sz w:val="22"/>
          <w:szCs w:val="22"/>
          <w:lang w:val="fr-BE"/>
        </w:rPr>
        <w:t xml:space="preserve"> à la radio, </w:t>
      </w:r>
      <w:r w:rsidRPr="00472948">
        <w:rPr>
          <w:rStyle w:val="Accentuation"/>
          <w:sz w:val="22"/>
          <w:szCs w:val="22"/>
          <w:lang w:val="fr-BE"/>
        </w:rPr>
        <w:t>5 à la télévision et 6 dans la presse écrite.</w:t>
      </w:r>
    </w:p>
    <w:p w14:paraId="74B8AD45" w14:textId="77777777" w:rsidR="00613296" w:rsidRPr="00472948" w:rsidRDefault="00613296" w:rsidP="00BE0A39">
      <w:pPr>
        <w:spacing w:line="276" w:lineRule="auto"/>
        <w:jc w:val="both"/>
        <w:rPr>
          <w:rStyle w:val="Accentuation"/>
          <w:i w:val="0"/>
          <w:sz w:val="22"/>
          <w:szCs w:val="22"/>
          <w:lang w:val="fr-BE"/>
        </w:rPr>
      </w:pPr>
    </w:p>
    <w:p w14:paraId="6BDC1511" w14:textId="77777777" w:rsidR="002F3B51" w:rsidRPr="00472948" w:rsidRDefault="00B3415C" w:rsidP="00BE0A39">
      <w:pPr>
        <w:spacing w:line="276" w:lineRule="auto"/>
        <w:jc w:val="both"/>
        <w:rPr>
          <w:iCs/>
          <w:sz w:val="22"/>
          <w:szCs w:val="22"/>
          <w:lang w:val="fr-BE"/>
        </w:rPr>
      </w:pPr>
      <w:r w:rsidRPr="00472948">
        <w:rPr>
          <w:rStyle w:val="Accentuation"/>
          <w:i w:val="0"/>
          <w:sz w:val="22"/>
          <w:szCs w:val="22"/>
          <w:lang w:val="fr-BE"/>
        </w:rPr>
        <w:t>Les articles sont disponibles sur plusieurs médias et notamment sur le site Internet, la page Facebook et la chaine YouTube du projet.</w:t>
      </w:r>
    </w:p>
    <w:p w14:paraId="752127AE" w14:textId="77777777" w:rsidR="000B7079" w:rsidRPr="00472948" w:rsidRDefault="00B3415C" w:rsidP="00BE0A39">
      <w:pPr>
        <w:spacing w:line="276" w:lineRule="auto"/>
        <w:jc w:val="both"/>
        <w:rPr>
          <w:rStyle w:val="Accentuation"/>
          <w:i w:val="0"/>
          <w:sz w:val="22"/>
          <w:szCs w:val="22"/>
          <w:lang w:val="nl-BE"/>
        </w:rPr>
      </w:pPr>
      <w:r w:rsidRPr="00472948">
        <w:rPr>
          <w:rStyle w:val="Accentuation"/>
          <w:i w:val="0"/>
          <w:sz w:val="22"/>
          <w:szCs w:val="22"/>
          <w:lang w:val="nl-BE"/>
        </w:rPr>
        <w:t xml:space="preserve">Website: </w:t>
      </w:r>
      <w:hyperlink r:id="rId11" w:history="1">
        <w:r w:rsidRPr="00472948">
          <w:rPr>
            <w:rStyle w:val="Accentuation"/>
            <w:i w:val="0"/>
            <w:sz w:val="22"/>
            <w:szCs w:val="22"/>
            <w:lang w:val="nl-BE"/>
          </w:rPr>
          <w:t>http://www.conservation-justice.org/CJ/</w:t>
        </w:r>
      </w:hyperlink>
    </w:p>
    <w:p w14:paraId="13FC3DD1" w14:textId="77777777" w:rsidR="000B7079" w:rsidRPr="00472948" w:rsidRDefault="00B3415C" w:rsidP="000B7079">
      <w:pPr>
        <w:spacing w:line="276" w:lineRule="auto"/>
        <w:rPr>
          <w:rStyle w:val="Accentuation"/>
          <w:i w:val="0"/>
          <w:sz w:val="22"/>
          <w:szCs w:val="22"/>
          <w:lang w:val="nl-BE"/>
        </w:rPr>
      </w:pPr>
      <w:r w:rsidRPr="00472948">
        <w:rPr>
          <w:rStyle w:val="Accentuation"/>
          <w:i w:val="0"/>
          <w:sz w:val="22"/>
          <w:szCs w:val="22"/>
          <w:lang w:val="nl-BE"/>
        </w:rPr>
        <w:t>Facebook:</w:t>
      </w:r>
      <w:hyperlink r:id="rId12" w:history="1">
        <w:r w:rsidRPr="00472948">
          <w:rPr>
            <w:rStyle w:val="Lienhypertexte"/>
            <w:color w:val="auto"/>
            <w:sz w:val="22"/>
            <w:szCs w:val="22"/>
            <w:lang w:val="nl-BE"/>
          </w:rPr>
          <w:t>https://www.facebook.com/Conservation-Justice-163892326976793/</w:t>
        </w:r>
      </w:hyperlink>
    </w:p>
    <w:p w14:paraId="4EDC3B4A" w14:textId="77777777" w:rsidR="00641E98" w:rsidRPr="00472948" w:rsidRDefault="00B3415C" w:rsidP="000B7079">
      <w:pPr>
        <w:spacing w:after="240" w:line="276" w:lineRule="auto"/>
        <w:jc w:val="both"/>
        <w:rPr>
          <w:iCs/>
          <w:sz w:val="22"/>
          <w:szCs w:val="22"/>
          <w:lang w:val="en-US"/>
        </w:rPr>
      </w:pPr>
      <w:r w:rsidRPr="00472948">
        <w:rPr>
          <w:rStyle w:val="Accentuation"/>
          <w:i w:val="0"/>
          <w:sz w:val="22"/>
          <w:szCs w:val="22"/>
          <w:lang w:val="en-US"/>
        </w:rPr>
        <w:t xml:space="preserve">YouTube: </w:t>
      </w:r>
      <w:hyperlink r:id="rId13" w:history="1">
        <w:r w:rsidRPr="00472948">
          <w:rPr>
            <w:rStyle w:val="Accentuation"/>
            <w:i w:val="0"/>
            <w:sz w:val="22"/>
            <w:szCs w:val="22"/>
            <w:lang w:val="en-US"/>
          </w:rPr>
          <w:t>https://www.youtube.com/user/ConservationJustice</w:t>
        </w:r>
      </w:hyperlink>
    </w:p>
    <w:p w14:paraId="71DB60D8" w14:textId="77777777" w:rsidR="00306FD5" w:rsidRPr="00472948" w:rsidRDefault="00306FD5" w:rsidP="0066676C">
      <w:pPr>
        <w:pStyle w:val="Titre1"/>
        <w:shd w:val="clear" w:color="auto" w:fill="000000" w:themeFill="text1"/>
        <w:jc w:val="both"/>
        <w:rPr>
          <w:rStyle w:val="Accentuation"/>
          <w:sz w:val="22"/>
          <w:szCs w:val="22"/>
        </w:rPr>
      </w:pPr>
      <w:bookmarkStart w:id="6" w:name="_Toc330025956"/>
      <w:bookmarkStart w:id="7" w:name="_Toc7774931"/>
      <w:r w:rsidRPr="00472948">
        <w:rPr>
          <w:rStyle w:val="Accentuation"/>
          <w:sz w:val="22"/>
          <w:szCs w:val="22"/>
        </w:rPr>
        <w:t>Relations extérieures</w:t>
      </w:r>
      <w:bookmarkEnd w:id="6"/>
      <w:bookmarkEnd w:id="7"/>
    </w:p>
    <w:p w14:paraId="081F2BF1" w14:textId="77777777" w:rsidR="0066676C" w:rsidRPr="00472948" w:rsidRDefault="0066676C" w:rsidP="0066676C">
      <w:pPr>
        <w:rPr>
          <w:sz w:val="22"/>
          <w:szCs w:val="22"/>
          <w:lang w:val="fr-CH" w:bidi="he-IL"/>
        </w:rPr>
      </w:pPr>
    </w:p>
    <w:p w14:paraId="2EE57E90" w14:textId="77777777" w:rsidR="00306FD5" w:rsidRPr="00472948" w:rsidRDefault="00306FD5" w:rsidP="00306FD5">
      <w:pPr>
        <w:spacing w:after="240"/>
        <w:jc w:val="both"/>
        <w:rPr>
          <w:rStyle w:val="Accentuation"/>
          <w:b/>
          <w:i w:val="0"/>
          <w:sz w:val="22"/>
          <w:szCs w:val="22"/>
        </w:rPr>
      </w:pPr>
      <w:proofErr w:type="gramStart"/>
      <w:r w:rsidRPr="00472948">
        <w:rPr>
          <w:rStyle w:val="Accentuation"/>
          <w:b/>
          <w:sz w:val="22"/>
          <w:szCs w:val="22"/>
        </w:rPr>
        <w:t>Indicateur:</w:t>
      </w:r>
      <w:proofErr w:type="gramEnd"/>
    </w:p>
    <w:tbl>
      <w:tblPr>
        <w:tblStyle w:val="Grilledetableauclaire1"/>
        <w:tblW w:w="0" w:type="auto"/>
        <w:tblLook w:val="04A0" w:firstRow="1" w:lastRow="0" w:firstColumn="1" w:lastColumn="0" w:noHBand="0" w:noVBand="1"/>
      </w:tblPr>
      <w:tblGrid>
        <w:gridCol w:w="4350"/>
        <w:gridCol w:w="4380"/>
      </w:tblGrid>
      <w:tr w:rsidR="00255C72" w:rsidRPr="00472948" w14:paraId="29C7AB13" w14:textId="77777777" w:rsidTr="000B5D2B">
        <w:trPr>
          <w:trHeight w:val="323"/>
        </w:trPr>
        <w:tc>
          <w:tcPr>
            <w:tcW w:w="4350" w:type="dxa"/>
          </w:tcPr>
          <w:p w14:paraId="35353520" w14:textId="77777777" w:rsidR="00306FD5" w:rsidRPr="00472948" w:rsidRDefault="00306FD5" w:rsidP="000B5D2B">
            <w:pPr>
              <w:jc w:val="both"/>
              <w:rPr>
                <w:rStyle w:val="Accentuation"/>
                <w:sz w:val="22"/>
                <w:szCs w:val="22"/>
              </w:rPr>
            </w:pPr>
            <w:r w:rsidRPr="00472948">
              <w:rPr>
                <w:rStyle w:val="Accentuation"/>
                <w:sz w:val="22"/>
                <w:szCs w:val="22"/>
              </w:rPr>
              <w:t>Nombre de rencontres</w:t>
            </w:r>
          </w:p>
        </w:tc>
        <w:tc>
          <w:tcPr>
            <w:tcW w:w="4380" w:type="dxa"/>
          </w:tcPr>
          <w:p w14:paraId="5543EC28" w14:textId="77777777" w:rsidR="00306FD5" w:rsidRPr="00472948" w:rsidRDefault="00F83317" w:rsidP="000B5D2B">
            <w:pPr>
              <w:jc w:val="center"/>
              <w:rPr>
                <w:rStyle w:val="Accentuation"/>
                <w:sz w:val="22"/>
                <w:szCs w:val="22"/>
              </w:rPr>
            </w:pPr>
            <w:r w:rsidRPr="00472948">
              <w:rPr>
                <w:rStyle w:val="Accentuation"/>
                <w:sz w:val="22"/>
                <w:szCs w:val="22"/>
              </w:rPr>
              <w:t>45</w:t>
            </w:r>
          </w:p>
        </w:tc>
      </w:tr>
      <w:tr w:rsidR="00255C72" w:rsidRPr="00472948" w14:paraId="389D46E5" w14:textId="77777777" w:rsidTr="000B5D2B">
        <w:trPr>
          <w:trHeight w:val="323"/>
        </w:trPr>
        <w:tc>
          <w:tcPr>
            <w:tcW w:w="4350" w:type="dxa"/>
          </w:tcPr>
          <w:p w14:paraId="6BFACAFF" w14:textId="77777777" w:rsidR="00306FD5" w:rsidRPr="00472948" w:rsidRDefault="00306FD5" w:rsidP="000B5D2B">
            <w:pPr>
              <w:jc w:val="both"/>
              <w:rPr>
                <w:rStyle w:val="Accentuation"/>
                <w:i w:val="0"/>
                <w:sz w:val="22"/>
                <w:szCs w:val="22"/>
              </w:rPr>
            </w:pPr>
            <w:r w:rsidRPr="00472948">
              <w:rPr>
                <w:rStyle w:val="Accentuation"/>
                <w:sz w:val="22"/>
                <w:szCs w:val="22"/>
              </w:rPr>
              <w:t>Suivi de l’accord de collaboration</w:t>
            </w:r>
            <w:r w:rsidRPr="00472948">
              <w:rPr>
                <w:rStyle w:val="Accentuation"/>
                <w:sz w:val="22"/>
                <w:szCs w:val="22"/>
              </w:rPr>
              <w:tab/>
            </w:r>
          </w:p>
        </w:tc>
        <w:tc>
          <w:tcPr>
            <w:tcW w:w="4380" w:type="dxa"/>
          </w:tcPr>
          <w:p w14:paraId="0F4A8357" w14:textId="77777777" w:rsidR="00306FD5" w:rsidRPr="00472948" w:rsidRDefault="00940D1F" w:rsidP="00F83317">
            <w:pPr>
              <w:jc w:val="center"/>
              <w:rPr>
                <w:rStyle w:val="Accentuation"/>
                <w:i w:val="0"/>
                <w:sz w:val="22"/>
                <w:szCs w:val="22"/>
              </w:rPr>
            </w:pPr>
            <w:r w:rsidRPr="00472948">
              <w:rPr>
                <w:rStyle w:val="Accentuation"/>
                <w:sz w:val="22"/>
                <w:szCs w:val="22"/>
              </w:rPr>
              <w:t>2</w:t>
            </w:r>
            <w:r w:rsidR="00F83317" w:rsidRPr="00472948">
              <w:rPr>
                <w:rStyle w:val="Accentuation"/>
                <w:sz w:val="22"/>
                <w:szCs w:val="22"/>
              </w:rPr>
              <w:t>5</w:t>
            </w:r>
          </w:p>
        </w:tc>
      </w:tr>
      <w:tr w:rsidR="00306FD5" w:rsidRPr="00472948" w14:paraId="5FC82452" w14:textId="77777777" w:rsidTr="000B5D2B">
        <w:trPr>
          <w:trHeight w:val="297"/>
        </w:trPr>
        <w:tc>
          <w:tcPr>
            <w:tcW w:w="4350" w:type="dxa"/>
            <w:vAlign w:val="center"/>
          </w:tcPr>
          <w:p w14:paraId="04B59211" w14:textId="77777777" w:rsidR="00306FD5" w:rsidRPr="00472948" w:rsidRDefault="00306FD5" w:rsidP="000B5D2B">
            <w:pPr>
              <w:rPr>
                <w:rStyle w:val="Accentuation"/>
                <w:i w:val="0"/>
                <w:sz w:val="22"/>
                <w:szCs w:val="22"/>
              </w:rPr>
            </w:pPr>
            <w:r w:rsidRPr="00472948">
              <w:rPr>
                <w:rStyle w:val="Accentuation"/>
                <w:sz w:val="22"/>
                <w:szCs w:val="22"/>
              </w:rPr>
              <w:t>Collaboration sur affaires</w:t>
            </w:r>
          </w:p>
        </w:tc>
        <w:tc>
          <w:tcPr>
            <w:tcW w:w="4380" w:type="dxa"/>
            <w:vAlign w:val="center"/>
          </w:tcPr>
          <w:p w14:paraId="44B1459B" w14:textId="77777777" w:rsidR="00306FD5" w:rsidRPr="00472948" w:rsidRDefault="00F83317" w:rsidP="000B5D2B">
            <w:pPr>
              <w:jc w:val="center"/>
              <w:rPr>
                <w:rStyle w:val="Accentuation"/>
                <w:i w:val="0"/>
                <w:sz w:val="22"/>
                <w:szCs w:val="22"/>
              </w:rPr>
            </w:pPr>
            <w:r w:rsidRPr="00472948">
              <w:rPr>
                <w:rStyle w:val="Accentuation"/>
                <w:sz w:val="22"/>
                <w:szCs w:val="22"/>
              </w:rPr>
              <w:t>20</w:t>
            </w:r>
          </w:p>
        </w:tc>
      </w:tr>
    </w:tbl>
    <w:p w14:paraId="1C2655E7" w14:textId="77777777" w:rsidR="00940D1F" w:rsidRPr="00472948" w:rsidRDefault="00940D1F" w:rsidP="00940D1F">
      <w:pPr>
        <w:jc w:val="both"/>
        <w:rPr>
          <w:sz w:val="22"/>
          <w:szCs w:val="22"/>
        </w:rPr>
      </w:pPr>
    </w:p>
    <w:p w14:paraId="05BA38EB" w14:textId="77777777" w:rsidR="00F83317" w:rsidRPr="00054552" w:rsidRDefault="00F83317" w:rsidP="00F83317">
      <w:pPr>
        <w:spacing w:line="276" w:lineRule="auto"/>
        <w:jc w:val="both"/>
        <w:rPr>
          <w:rStyle w:val="Accentuation"/>
          <w:i w:val="0"/>
          <w:sz w:val="22"/>
          <w:szCs w:val="22"/>
        </w:rPr>
      </w:pPr>
      <w:r w:rsidRPr="00054552">
        <w:rPr>
          <w:rStyle w:val="Accentuation"/>
          <w:i w:val="0"/>
          <w:sz w:val="22"/>
          <w:szCs w:val="22"/>
        </w:rPr>
        <w:t xml:space="preserve">Le projet AALF a tenu plusieurs rencontres avec les autorités administratives et judiciaires dans trois provinces, l’Estuaire, </w:t>
      </w:r>
      <w:r w:rsidR="00472948" w:rsidRPr="00054552">
        <w:rPr>
          <w:rStyle w:val="Accentuation"/>
          <w:i w:val="0"/>
          <w:sz w:val="22"/>
          <w:szCs w:val="22"/>
        </w:rPr>
        <w:t xml:space="preserve">la </w:t>
      </w:r>
      <w:r w:rsidRPr="00054552">
        <w:rPr>
          <w:rStyle w:val="Accentuation"/>
          <w:i w:val="0"/>
          <w:sz w:val="22"/>
          <w:szCs w:val="22"/>
        </w:rPr>
        <w:t xml:space="preserve">Ngounié et </w:t>
      </w:r>
      <w:r w:rsidR="00472948" w:rsidRPr="00054552">
        <w:rPr>
          <w:rStyle w:val="Accentuation"/>
          <w:i w:val="0"/>
          <w:sz w:val="22"/>
          <w:szCs w:val="22"/>
        </w:rPr>
        <w:t xml:space="preserve">la </w:t>
      </w:r>
      <w:r w:rsidRPr="00054552">
        <w:rPr>
          <w:rStyle w:val="Accentuation"/>
          <w:i w:val="0"/>
          <w:sz w:val="22"/>
          <w:szCs w:val="22"/>
        </w:rPr>
        <w:t>Nyanga.</w:t>
      </w:r>
    </w:p>
    <w:p w14:paraId="5426331C" w14:textId="77777777" w:rsidR="00F83317" w:rsidRPr="00472948" w:rsidRDefault="00F83317" w:rsidP="00F83317">
      <w:pPr>
        <w:jc w:val="both"/>
        <w:rPr>
          <w:rStyle w:val="Accentuation"/>
          <w:i w:val="0"/>
          <w:sz w:val="22"/>
          <w:szCs w:val="22"/>
        </w:rPr>
      </w:pPr>
    </w:p>
    <w:p w14:paraId="5883ABA9" w14:textId="09ECE744" w:rsidR="00472948" w:rsidRPr="00472948" w:rsidRDefault="0029605B" w:rsidP="00472948">
      <w:pPr>
        <w:jc w:val="both"/>
        <w:rPr>
          <w:rStyle w:val="Accentuation"/>
          <w:i w:val="0"/>
          <w:sz w:val="22"/>
          <w:szCs w:val="22"/>
        </w:rPr>
      </w:pPr>
      <w:r w:rsidRPr="00472948">
        <w:rPr>
          <w:sz w:val="22"/>
          <w:szCs w:val="22"/>
        </w:rPr>
        <w:t>Les juristes du projet et le Coordonnateur des</w:t>
      </w:r>
      <w:r w:rsidR="009D2B67">
        <w:rPr>
          <w:sz w:val="22"/>
          <w:szCs w:val="22"/>
        </w:rPr>
        <w:t xml:space="preserve"> activités, ont rencontré, le D</w:t>
      </w:r>
      <w:r w:rsidRPr="00472948">
        <w:rPr>
          <w:sz w:val="22"/>
          <w:szCs w:val="22"/>
        </w:rPr>
        <w:t>irecteur général de la faune et des aires protégées,</w:t>
      </w:r>
      <w:r w:rsidRPr="00472948">
        <w:rPr>
          <w:color w:val="000000"/>
          <w:sz w:val="22"/>
          <w:szCs w:val="22"/>
          <w:lang w:eastAsia="fr-FR"/>
        </w:rPr>
        <w:t xml:space="preserve"> </w:t>
      </w:r>
      <w:r w:rsidR="009D2B67">
        <w:rPr>
          <w:sz w:val="22"/>
          <w:szCs w:val="22"/>
        </w:rPr>
        <w:t>le D</w:t>
      </w:r>
      <w:r w:rsidRPr="00472948">
        <w:rPr>
          <w:sz w:val="22"/>
          <w:szCs w:val="22"/>
        </w:rPr>
        <w:t xml:space="preserve">irecteur de la lutte anti-braconnage, </w:t>
      </w:r>
      <w:r w:rsidR="009D2B67">
        <w:rPr>
          <w:color w:val="000000"/>
          <w:sz w:val="22"/>
          <w:szCs w:val="22"/>
          <w:lang w:eastAsia="fr-FR"/>
        </w:rPr>
        <w:t>les P</w:t>
      </w:r>
      <w:r w:rsidRPr="00472948">
        <w:rPr>
          <w:color w:val="000000"/>
          <w:sz w:val="22"/>
          <w:szCs w:val="22"/>
          <w:lang w:eastAsia="fr-FR"/>
        </w:rPr>
        <w:t>rocureurs de Mouila et Tchibanga,</w:t>
      </w:r>
      <w:r w:rsidR="00472948" w:rsidRPr="00472948">
        <w:rPr>
          <w:color w:val="000000"/>
          <w:sz w:val="22"/>
          <w:szCs w:val="22"/>
          <w:lang w:eastAsia="fr-FR"/>
        </w:rPr>
        <w:t xml:space="preserve"> </w:t>
      </w:r>
      <w:r w:rsidR="00472948" w:rsidRPr="009D2B67">
        <w:rPr>
          <w:rStyle w:val="Accentuation"/>
          <w:i w:val="0"/>
          <w:sz w:val="22"/>
          <w:szCs w:val="22"/>
        </w:rPr>
        <w:t>les magistrats du siège dans le cadre du suivi des affaires pendantes devant le tribunal spécial à Libreville,</w:t>
      </w:r>
      <w:r w:rsidR="00472948" w:rsidRPr="00472948">
        <w:rPr>
          <w:rStyle w:val="Accentuation"/>
          <w:sz w:val="22"/>
          <w:szCs w:val="22"/>
        </w:rPr>
        <w:t xml:space="preserve"> </w:t>
      </w:r>
      <w:r w:rsidRPr="00472948">
        <w:rPr>
          <w:color w:val="000000"/>
          <w:sz w:val="22"/>
          <w:szCs w:val="22"/>
          <w:lang w:eastAsia="fr-FR"/>
        </w:rPr>
        <w:t xml:space="preserve">les chefs d’antennes </w:t>
      </w:r>
      <w:r w:rsidR="00472948" w:rsidRPr="00472948">
        <w:rPr>
          <w:color w:val="000000"/>
          <w:sz w:val="22"/>
          <w:szCs w:val="22"/>
          <w:lang w:eastAsia="fr-FR"/>
        </w:rPr>
        <w:t>de la Police judiciaire de Mouila et Tchibanga, ainsi que</w:t>
      </w:r>
      <w:r w:rsidR="009D2B67">
        <w:rPr>
          <w:color w:val="000000"/>
          <w:sz w:val="22"/>
          <w:szCs w:val="22"/>
          <w:lang w:eastAsia="fr-FR"/>
        </w:rPr>
        <w:t xml:space="preserve"> les D</w:t>
      </w:r>
      <w:r w:rsidRPr="00472948">
        <w:rPr>
          <w:color w:val="000000"/>
          <w:sz w:val="22"/>
          <w:szCs w:val="22"/>
          <w:lang w:eastAsia="fr-FR"/>
        </w:rPr>
        <w:t>irecteurs provinciaux des eaux et forêts de la Nyanga et Ngounié</w:t>
      </w:r>
      <w:r w:rsidR="00472948" w:rsidRPr="00472948">
        <w:rPr>
          <w:color w:val="000000"/>
          <w:sz w:val="22"/>
          <w:szCs w:val="22"/>
          <w:lang w:eastAsia="fr-FR"/>
        </w:rPr>
        <w:t>.</w:t>
      </w:r>
    </w:p>
    <w:p w14:paraId="4E5D6137" w14:textId="77777777" w:rsidR="00F83317" w:rsidRPr="00472948" w:rsidRDefault="00F83317" w:rsidP="00472948">
      <w:pPr>
        <w:jc w:val="both"/>
        <w:rPr>
          <w:iCs/>
          <w:sz w:val="22"/>
          <w:szCs w:val="22"/>
        </w:rPr>
      </w:pPr>
      <w:r w:rsidRPr="00472948">
        <w:rPr>
          <w:i/>
          <w:sz w:val="22"/>
          <w:szCs w:val="22"/>
        </w:rPr>
        <w:tab/>
      </w:r>
    </w:p>
    <w:p w14:paraId="6F674741" w14:textId="77777777" w:rsidR="00F83317" w:rsidRPr="009D2B67" w:rsidRDefault="00F83317" w:rsidP="00F83317">
      <w:pPr>
        <w:jc w:val="both"/>
        <w:rPr>
          <w:sz w:val="22"/>
          <w:szCs w:val="22"/>
        </w:rPr>
      </w:pPr>
      <w:r w:rsidRPr="009D2B67">
        <w:rPr>
          <w:sz w:val="22"/>
          <w:szCs w:val="22"/>
        </w:rPr>
        <w:t>Au total, au moins quarante-cinq (45) rencontres avec différentes autorités administratives et judiciaires ont eu lieu.</w:t>
      </w:r>
    </w:p>
    <w:p w14:paraId="6825855E" w14:textId="77777777" w:rsidR="00CC5A87" w:rsidRPr="00472948" w:rsidRDefault="00CC5A87" w:rsidP="000B7079">
      <w:pPr>
        <w:jc w:val="both"/>
        <w:rPr>
          <w:rStyle w:val="Accentuation"/>
          <w:i w:val="0"/>
          <w:sz w:val="22"/>
          <w:szCs w:val="22"/>
        </w:rPr>
      </w:pPr>
    </w:p>
    <w:p w14:paraId="027A51A0" w14:textId="77777777" w:rsidR="009A3358" w:rsidRPr="00472948" w:rsidRDefault="000B7079" w:rsidP="00741202">
      <w:pPr>
        <w:pStyle w:val="Titre1"/>
        <w:shd w:val="clear" w:color="auto" w:fill="000000" w:themeFill="text1"/>
        <w:jc w:val="both"/>
        <w:rPr>
          <w:rStyle w:val="Accentuation"/>
          <w:sz w:val="22"/>
          <w:szCs w:val="22"/>
        </w:rPr>
      </w:pPr>
      <w:bookmarkStart w:id="8" w:name="_Toc7774932"/>
      <w:r w:rsidRPr="00472948">
        <w:rPr>
          <w:rStyle w:val="Accentuation"/>
          <w:sz w:val="22"/>
          <w:szCs w:val="22"/>
        </w:rPr>
        <w:t>Conclusion</w:t>
      </w:r>
      <w:bookmarkEnd w:id="8"/>
    </w:p>
    <w:p w14:paraId="299A1EE0" w14:textId="77777777" w:rsidR="0082265D" w:rsidRPr="00472948" w:rsidRDefault="0082265D" w:rsidP="0082265D">
      <w:pPr>
        <w:jc w:val="both"/>
        <w:rPr>
          <w:sz w:val="22"/>
          <w:szCs w:val="22"/>
        </w:rPr>
      </w:pPr>
    </w:p>
    <w:p w14:paraId="189F3040" w14:textId="77777777" w:rsidR="00BC43E9" w:rsidRPr="00433BED" w:rsidRDefault="00433BED" w:rsidP="00BC43E9">
      <w:pPr>
        <w:jc w:val="both"/>
        <w:rPr>
          <w:sz w:val="22"/>
          <w:szCs w:val="22"/>
        </w:rPr>
      </w:pPr>
      <w:r w:rsidRPr="00433BED">
        <w:rPr>
          <w:sz w:val="22"/>
          <w:szCs w:val="22"/>
        </w:rPr>
        <w:t>L’assouplissement des mesures restrictives liées au confinement et l’autorisation spéciale de circuler librement sur toute l’étendue du territoire national,</w:t>
      </w:r>
      <w:r w:rsidRPr="00433BED">
        <w:rPr>
          <w:b/>
          <w:i/>
          <w:sz w:val="22"/>
          <w:szCs w:val="22"/>
        </w:rPr>
        <w:t xml:space="preserve"> </w:t>
      </w:r>
      <w:r w:rsidR="00090DE6" w:rsidRPr="00433BED">
        <w:rPr>
          <w:sz w:val="22"/>
          <w:szCs w:val="22"/>
        </w:rPr>
        <w:t>obten</w:t>
      </w:r>
      <w:r w:rsidRPr="00433BED">
        <w:rPr>
          <w:sz w:val="22"/>
          <w:szCs w:val="22"/>
        </w:rPr>
        <w:t>u</w:t>
      </w:r>
      <w:r w:rsidR="00090DE6" w:rsidRPr="00433BED">
        <w:rPr>
          <w:sz w:val="22"/>
          <w:szCs w:val="22"/>
        </w:rPr>
        <w:t xml:space="preserve"> via le Ministère</w:t>
      </w:r>
      <w:r w:rsidRPr="00433BED">
        <w:rPr>
          <w:sz w:val="22"/>
          <w:szCs w:val="22"/>
        </w:rPr>
        <w:t xml:space="preserve"> en charges des Eaux et forêts, </w:t>
      </w:r>
      <w:r w:rsidR="00090DE6" w:rsidRPr="00433BED">
        <w:rPr>
          <w:sz w:val="22"/>
          <w:szCs w:val="22"/>
        </w:rPr>
        <w:t xml:space="preserve">signée par le Ministre de l’intérieur, de la Défense ainsi que </w:t>
      </w:r>
      <w:r w:rsidRPr="00433BED">
        <w:rPr>
          <w:sz w:val="22"/>
          <w:szCs w:val="22"/>
        </w:rPr>
        <w:t>celui</w:t>
      </w:r>
      <w:r w:rsidR="00090DE6" w:rsidRPr="00433BED">
        <w:rPr>
          <w:sz w:val="22"/>
          <w:szCs w:val="22"/>
        </w:rPr>
        <w:t xml:space="preserve"> des Eaux et Forêts</w:t>
      </w:r>
      <w:r w:rsidRPr="00433BED">
        <w:rPr>
          <w:sz w:val="22"/>
          <w:szCs w:val="22"/>
        </w:rPr>
        <w:t xml:space="preserve"> ont</w:t>
      </w:r>
      <w:r w:rsidR="00BC43E9" w:rsidRPr="00433BED">
        <w:rPr>
          <w:sz w:val="22"/>
          <w:szCs w:val="22"/>
        </w:rPr>
        <w:t xml:space="preserve"> permis </w:t>
      </w:r>
      <w:r w:rsidRPr="00433BED">
        <w:rPr>
          <w:sz w:val="22"/>
          <w:szCs w:val="22"/>
        </w:rPr>
        <w:t>de reprendre avec les activités</w:t>
      </w:r>
      <w:r w:rsidR="00BC43E9" w:rsidRPr="00433BED">
        <w:rPr>
          <w:sz w:val="22"/>
          <w:szCs w:val="22"/>
        </w:rPr>
        <w:t xml:space="preserve"> en ce mois de juillet 2020. Il s’agit en effet aussi bien du suivi des affaires pendantes à la chambre spéciale du tribunal de Libreville, des missions en province et les rencontres avec les autorités administratives et judiciaires.</w:t>
      </w:r>
    </w:p>
    <w:p w14:paraId="2E0ACC8F" w14:textId="77777777" w:rsidR="00BC43E9" w:rsidRPr="00433BED" w:rsidRDefault="00BC43E9" w:rsidP="00BC43E9">
      <w:pPr>
        <w:jc w:val="both"/>
        <w:rPr>
          <w:sz w:val="22"/>
          <w:szCs w:val="22"/>
        </w:rPr>
      </w:pPr>
    </w:p>
    <w:p w14:paraId="6F566476" w14:textId="2ABC03DC" w:rsidR="00433BED" w:rsidRPr="002C68E0" w:rsidRDefault="00BC43E9" w:rsidP="00433BED">
      <w:pPr>
        <w:jc w:val="both"/>
        <w:rPr>
          <w:sz w:val="22"/>
          <w:szCs w:val="22"/>
        </w:rPr>
      </w:pPr>
      <w:r w:rsidRPr="00433BED">
        <w:rPr>
          <w:sz w:val="22"/>
          <w:szCs w:val="22"/>
        </w:rPr>
        <w:t>A cet effet, sept affaires ont été suivie</w:t>
      </w:r>
      <w:r w:rsidR="00054552">
        <w:rPr>
          <w:sz w:val="22"/>
          <w:szCs w:val="22"/>
        </w:rPr>
        <w:t>s</w:t>
      </w:r>
      <w:r w:rsidRPr="00433BED">
        <w:rPr>
          <w:sz w:val="22"/>
          <w:szCs w:val="22"/>
        </w:rPr>
        <w:t xml:space="preserve"> dans les procédures judiciaires de lutte contre le trafic de la faune sauvage</w:t>
      </w:r>
      <w:r w:rsidR="00054552">
        <w:rPr>
          <w:sz w:val="22"/>
          <w:szCs w:val="22"/>
        </w:rPr>
        <w:t xml:space="preserve">, </w:t>
      </w:r>
      <w:r w:rsidR="00054552" w:rsidRPr="00433BED">
        <w:rPr>
          <w:sz w:val="22"/>
          <w:szCs w:val="22"/>
        </w:rPr>
        <w:t>impliquant treize personnes</w:t>
      </w:r>
      <w:r w:rsidRPr="00433BED">
        <w:rPr>
          <w:sz w:val="22"/>
          <w:szCs w:val="22"/>
        </w:rPr>
        <w:t>. Deux missions organisées dans les deux provinces de la Nyanga et la Ngounié ont permis d’interpeller cinq présumés trafiquants d’ivoire avec une saisie de huit pointes d’ivoire au total et seize dents d’hippopotame.</w:t>
      </w:r>
    </w:p>
    <w:sectPr w:rsidR="00433BED" w:rsidRPr="002C68E0" w:rsidSect="006F3D5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0E20EB" w14:textId="77777777" w:rsidR="008F33C7" w:rsidRDefault="008F33C7" w:rsidP="00BE7B64">
      <w:r>
        <w:separator/>
      </w:r>
    </w:p>
  </w:endnote>
  <w:endnote w:type="continuationSeparator" w:id="0">
    <w:p w14:paraId="03D1586F" w14:textId="77777777" w:rsidR="008F33C7" w:rsidRDefault="008F33C7" w:rsidP="00BE7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13EE60" w14:textId="77777777" w:rsidR="008F33C7" w:rsidRDefault="008F33C7" w:rsidP="00BE7B64">
      <w:r>
        <w:separator/>
      </w:r>
    </w:p>
  </w:footnote>
  <w:footnote w:type="continuationSeparator" w:id="0">
    <w:p w14:paraId="1CA4C6EF" w14:textId="77777777" w:rsidR="008F33C7" w:rsidRDefault="008F33C7" w:rsidP="00BE7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C519B"/>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BE45C1"/>
    <w:multiLevelType w:val="hybridMultilevel"/>
    <w:tmpl w:val="825808CA"/>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15976ACE"/>
    <w:multiLevelType w:val="hybridMultilevel"/>
    <w:tmpl w:val="544E9F5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E81FBA"/>
    <w:multiLevelType w:val="hybridMultilevel"/>
    <w:tmpl w:val="5376653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E96391"/>
    <w:multiLevelType w:val="hybridMultilevel"/>
    <w:tmpl w:val="D1C4D3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E054CF5"/>
    <w:multiLevelType w:val="hybridMultilevel"/>
    <w:tmpl w:val="2C1ECD40"/>
    <w:lvl w:ilvl="0" w:tplc="4F12C2F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F57774E"/>
    <w:multiLevelType w:val="hybridMultilevel"/>
    <w:tmpl w:val="62F27A96"/>
    <w:lvl w:ilvl="0" w:tplc="040C000D">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7" w15:restartNumberingAfterBreak="0">
    <w:nsid w:val="204D7101"/>
    <w:multiLevelType w:val="hybridMultilevel"/>
    <w:tmpl w:val="0FDA85F0"/>
    <w:lvl w:ilvl="0" w:tplc="040C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87F321A"/>
    <w:multiLevelType w:val="hybridMultilevel"/>
    <w:tmpl w:val="A1CA2F9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3D9F5085"/>
    <w:multiLevelType w:val="hybridMultilevel"/>
    <w:tmpl w:val="AF54A5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FD50C3"/>
    <w:multiLevelType w:val="multilevel"/>
    <w:tmpl w:val="080C0025"/>
    <w:lvl w:ilvl="0">
      <w:start w:val="1"/>
      <w:numFmt w:val="decimal"/>
      <w:pStyle w:val="Titre1"/>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11" w15:restartNumberingAfterBreak="0">
    <w:nsid w:val="4CFD5C96"/>
    <w:multiLevelType w:val="hybridMultilevel"/>
    <w:tmpl w:val="5FE68138"/>
    <w:lvl w:ilvl="0" w:tplc="C85C0C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EE0331B"/>
    <w:multiLevelType w:val="hybridMultilevel"/>
    <w:tmpl w:val="7EBA130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090747E"/>
    <w:multiLevelType w:val="hybridMultilevel"/>
    <w:tmpl w:val="CEA8805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27E6F04"/>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48C0D83"/>
    <w:multiLevelType w:val="hybridMultilevel"/>
    <w:tmpl w:val="4740F4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6436F6B"/>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A946AD6"/>
    <w:multiLevelType w:val="hybridMultilevel"/>
    <w:tmpl w:val="8148126A"/>
    <w:lvl w:ilvl="0" w:tplc="2C1EEBF4">
      <w:numFmt w:val="bullet"/>
      <w:lvlText w:val="-"/>
      <w:lvlJc w:val="left"/>
      <w:pPr>
        <w:ind w:left="720" w:hanging="360"/>
      </w:pPr>
      <w:rPr>
        <w:rFonts w:ascii="Times New Roman" w:eastAsia="Times New Roman" w:hAnsi="Times New Roman" w:cs="Times New Roman"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88D79B7"/>
    <w:multiLevelType w:val="hybridMultilevel"/>
    <w:tmpl w:val="91C83ECC"/>
    <w:lvl w:ilvl="0" w:tplc="0FB61AC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EF711B0"/>
    <w:multiLevelType w:val="hybridMultilevel"/>
    <w:tmpl w:val="6C043F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F912C41"/>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7FE24DBD"/>
    <w:multiLevelType w:val="hybridMultilevel"/>
    <w:tmpl w:val="EAE856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14"/>
  </w:num>
  <w:num w:numId="3">
    <w:abstractNumId w:val="16"/>
  </w:num>
  <w:num w:numId="4">
    <w:abstractNumId w:val="20"/>
  </w:num>
  <w:num w:numId="5">
    <w:abstractNumId w:val="0"/>
  </w:num>
  <w:num w:numId="6">
    <w:abstractNumId w:val="7"/>
  </w:num>
  <w:num w:numId="7">
    <w:abstractNumId w:val="1"/>
  </w:num>
  <w:num w:numId="8">
    <w:abstractNumId w:val="8"/>
  </w:num>
  <w:num w:numId="9">
    <w:abstractNumId w:val="12"/>
  </w:num>
  <w:num w:numId="10">
    <w:abstractNumId w:val="13"/>
  </w:num>
  <w:num w:numId="11">
    <w:abstractNumId w:val="2"/>
  </w:num>
  <w:num w:numId="12">
    <w:abstractNumId w:val="11"/>
  </w:num>
  <w:num w:numId="13">
    <w:abstractNumId w:val="9"/>
  </w:num>
  <w:num w:numId="14">
    <w:abstractNumId w:val="3"/>
  </w:num>
  <w:num w:numId="15">
    <w:abstractNumId w:val="6"/>
  </w:num>
  <w:num w:numId="16">
    <w:abstractNumId w:val="18"/>
  </w:num>
  <w:num w:numId="17">
    <w:abstractNumId w:val="17"/>
  </w:num>
  <w:num w:numId="18">
    <w:abstractNumId w:val="15"/>
  </w:num>
  <w:num w:numId="19">
    <w:abstractNumId w:val="5"/>
  </w:num>
  <w:num w:numId="20">
    <w:abstractNumId w:val="19"/>
  </w:num>
  <w:num w:numId="21">
    <w:abstractNumId w:val="2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079"/>
    <w:rsid w:val="000060D0"/>
    <w:rsid w:val="00017314"/>
    <w:rsid w:val="0002017E"/>
    <w:rsid w:val="000204A3"/>
    <w:rsid w:val="00027602"/>
    <w:rsid w:val="00027D7E"/>
    <w:rsid w:val="00036A7A"/>
    <w:rsid w:val="00041B60"/>
    <w:rsid w:val="000479FD"/>
    <w:rsid w:val="000524FD"/>
    <w:rsid w:val="00054552"/>
    <w:rsid w:val="00055C1C"/>
    <w:rsid w:val="0005616F"/>
    <w:rsid w:val="00066400"/>
    <w:rsid w:val="00067DFF"/>
    <w:rsid w:val="000740A3"/>
    <w:rsid w:val="0007711E"/>
    <w:rsid w:val="00090DE6"/>
    <w:rsid w:val="000A192C"/>
    <w:rsid w:val="000B7079"/>
    <w:rsid w:val="000C1C78"/>
    <w:rsid w:val="000C5488"/>
    <w:rsid w:val="000C6609"/>
    <w:rsid w:val="000C6C16"/>
    <w:rsid w:val="000D1D3A"/>
    <w:rsid w:val="000E2E5B"/>
    <w:rsid w:val="000E3F54"/>
    <w:rsid w:val="000E426B"/>
    <w:rsid w:val="000E56C6"/>
    <w:rsid w:val="000F4C8D"/>
    <w:rsid w:val="000F5605"/>
    <w:rsid w:val="000F606B"/>
    <w:rsid w:val="000F7A74"/>
    <w:rsid w:val="00121E95"/>
    <w:rsid w:val="001277C3"/>
    <w:rsid w:val="001375E9"/>
    <w:rsid w:val="00141AC9"/>
    <w:rsid w:val="0014652F"/>
    <w:rsid w:val="00146D3D"/>
    <w:rsid w:val="00156EE8"/>
    <w:rsid w:val="001615D3"/>
    <w:rsid w:val="0017006B"/>
    <w:rsid w:val="00171351"/>
    <w:rsid w:val="00172C70"/>
    <w:rsid w:val="0017506C"/>
    <w:rsid w:val="00180BC4"/>
    <w:rsid w:val="00184F2B"/>
    <w:rsid w:val="00185E15"/>
    <w:rsid w:val="001B060D"/>
    <w:rsid w:val="001C0E29"/>
    <w:rsid w:val="001C0FE1"/>
    <w:rsid w:val="001C1B7E"/>
    <w:rsid w:val="001C4F12"/>
    <w:rsid w:val="001C71AE"/>
    <w:rsid w:val="001C7E2A"/>
    <w:rsid w:val="001D4336"/>
    <w:rsid w:val="001D7858"/>
    <w:rsid w:val="001E0712"/>
    <w:rsid w:val="001E54F4"/>
    <w:rsid w:val="001E5C8C"/>
    <w:rsid w:val="001E79F4"/>
    <w:rsid w:val="001E7F64"/>
    <w:rsid w:val="001F7E56"/>
    <w:rsid w:val="00207CE9"/>
    <w:rsid w:val="00211423"/>
    <w:rsid w:val="002116B3"/>
    <w:rsid w:val="00213BF3"/>
    <w:rsid w:val="00213EF4"/>
    <w:rsid w:val="00215821"/>
    <w:rsid w:val="00215B83"/>
    <w:rsid w:val="0021695F"/>
    <w:rsid w:val="00227AF5"/>
    <w:rsid w:val="002320C9"/>
    <w:rsid w:val="002428D2"/>
    <w:rsid w:val="00242D24"/>
    <w:rsid w:val="00244986"/>
    <w:rsid w:val="00255C72"/>
    <w:rsid w:val="002739FC"/>
    <w:rsid w:val="00275028"/>
    <w:rsid w:val="00280C25"/>
    <w:rsid w:val="00281C3C"/>
    <w:rsid w:val="00286E67"/>
    <w:rsid w:val="002935AD"/>
    <w:rsid w:val="00295C1F"/>
    <w:rsid w:val="0029605B"/>
    <w:rsid w:val="00296889"/>
    <w:rsid w:val="002A253A"/>
    <w:rsid w:val="002A2E94"/>
    <w:rsid w:val="002A38F6"/>
    <w:rsid w:val="002A4C17"/>
    <w:rsid w:val="002A6F06"/>
    <w:rsid w:val="002B16EF"/>
    <w:rsid w:val="002B207B"/>
    <w:rsid w:val="002C369A"/>
    <w:rsid w:val="002C5BA7"/>
    <w:rsid w:val="002C68E0"/>
    <w:rsid w:val="002D56FC"/>
    <w:rsid w:val="002E5405"/>
    <w:rsid w:val="002F186A"/>
    <w:rsid w:val="002F3B51"/>
    <w:rsid w:val="002F5D1B"/>
    <w:rsid w:val="002F7002"/>
    <w:rsid w:val="00302170"/>
    <w:rsid w:val="0030235C"/>
    <w:rsid w:val="00303856"/>
    <w:rsid w:val="00304D2E"/>
    <w:rsid w:val="00306FD5"/>
    <w:rsid w:val="00315F65"/>
    <w:rsid w:val="00316BDB"/>
    <w:rsid w:val="00327999"/>
    <w:rsid w:val="00337846"/>
    <w:rsid w:val="00337BCE"/>
    <w:rsid w:val="003409D9"/>
    <w:rsid w:val="0034260F"/>
    <w:rsid w:val="003528CC"/>
    <w:rsid w:val="0035316B"/>
    <w:rsid w:val="0035556D"/>
    <w:rsid w:val="003613A3"/>
    <w:rsid w:val="003617C7"/>
    <w:rsid w:val="00370B3C"/>
    <w:rsid w:val="003735D9"/>
    <w:rsid w:val="00377074"/>
    <w:rsid w:val="00383814"/>
    <w:rsid w:val="003860C9"/>
    <w:rsid w:val="003914F2"/>
    <w:rsid w:val="00397671"/>
    <w:rsid w:val="00397A2C"/>
    <w:rsid w:val="003A54A7"/>
    <w:rsid w:val="003A5AF5"/>
    <w:rsid w:val="003B71D1"/>
    <w:rsid w:val="003C7F0D"/>
    <w:rsid w:val="003D5908"/>
    <w:rsid w:val="003E2B43"/>
    <w:rsid w:val="003E5A95"/>
    <w:rsid w:val="003F1FD9"/>
    <w:rsid w:val="003F2268"/>
    <w:rsid w:val="003F45AA"/>
    <w:rsid w:val="004057AE"/>
    <w:rsid w:val="00405D2D"/>
    <w:rsid w:val="004238F6"/>
    <w:rsid w:val="00424090"/>
    <w:rsid w:val="00433BED"/>
    <w:rsid w:val="00446DCC"/>
    <w:rsid w:val="00451D75"/>
    <w:rsid w:val="00454F58"/>
    <w:rsid w:val="004564E1"/>
    <w:rsid w:val="004572DD"/>
    <w:rsid w:val="004645A5"/>
    <w:rsid w:val="00465F53"/>
    <w:rsid w:val="0046619C"/>
    <w:rsid w:val="00472948"/>
    <w:rsid w:val="00472BF4"/>
    <w:rsid w:val="00473EE5"/>
    <w:rsid w:val="00485C4D"/>
    <w:rsid w:val="004915E7"/>
    <w:rsid w:val="004922E6"/>
    <w:rsid w:val="00492FBD"/>
    <w:rsid w:val="0049357B"/>
    <w:rsid w:val="00494ABD"/>
    <w:rsid w:val="004960F9"/>
    <w:rsid w:val="004A0A7F"/>
    <w:rsid w:val="004A116C"/>
    <w:rsid w:val="004A2F3F"/>
    <w:rsid w:val="004A2F7B"/>
    <w:rsid w:val="004A4554"/>
    <w:rsid w:val="004A6140"/>
    <w:rsid w:val="004A6B47"/>
    <w:rsid w:val="004B16CD"/>
    <w:rsid w:val="004B4036"/>
    <w:rsid w:val="004B4102"/>
    <w:rsid w:val="004B72D4"/>
    <w:rsid w:val="004C09B5"/>
    <w:rsid w:val="004C2C0C"/>
    <w:rsid w:val="004C4A77"/>
    <w:rsid w:val="004C671D"/>
    <w:rsid w:val="004D497E"/>
    <w:rsid w:val="004D4F8C"/>
    <w:rsid w:val="004D569E"/>
    <w:rsid w:val="004D7301"/>
    <w:rsid w:val="004E052E"/>
    <w:rsid w:val="004E471D"/>
    <w:rsid w:val="004E4F4D"/>
    <w:rsid w:val="004E6157"/>
    <w:rsid w:val="004F1779"/>
    <w:rsid w:val="004F38B0"/>
    <w:rsid w:val="005043C8"/>
    <w:rsid w:val="005067CB"/>
    <w:rsid w:val="00511E73"/>
    <w:rsid w:val="0051463C"/>
    <w:rsid w:val="00517ABF"/>
    <w:rsid w:val="00522932"/>
    <w:rsid w:val="00525E53"/>
    <w:rsid w:val="00535B95"/>
    <w:rsid w:val="005370FF"/>
    <w:rsid w:val="005464D6"/>
    <w:rsid w:val="00550AC9"/>
    <w:rsid w:val="005530E0"/>
    <w:rsid w:val="005568EA"/>
    <w:rsid w:val="00561F21"/>
    <w:rsid w:val="00567C4B"/>
    <w:rsid w:val="0057067E"/>
    <w:rsid w:val="00572C73"/>
    <w:rsid w:val="00581AD8"/>
    <w:rsid w:val="00582AD5"/>
    <w:rsid w:val="00592412"/>
    <w:rsid w:val="0059364C"/>
    <w:rsid w:val="00594AF2"/>
    <w:rsid w:val="00596471"/>
    <w:rsid w:val="00596D7F"/>
    <w:rsid w:val="005A2AF2"/>
    <w:rsid w:val="005A7F47"/>
    <w:rsid w:val="005B2FF7"/>
    <w:rsid w:val="005C4872"/>
    <w:rsid w:val="005C49D0"/>
    <w:rsid w:val="005C5237"/>
    <w:rsid w:val="005C53DE"/>
    <w:rsid w:val="005C5E21"/>
    <w:rsid w:val="005D6843"/>
    <w:rsid w:val="005D756A"/>
    <w:rsid w:val="005E49D2"/>
    <w:rsid w:val="005E6B30"/>
    <w:rsid w:val="005F1BB9"/>
    <w:rsid w:val="005F3DD5"/>
    <w:rsid w:val="005F477B"/>
    <w:rsid w:val="00600B7D"/>
    <w:rsid w:val="00604047"/>
    <w:rsid w:val="0060521D"/>
    <w:rsid w:val="00605C76"/>
    <w:rsid w:val="00607DFB"/>
    <w:rsid w:val="00612817"/>
    <w:rsid w:val="00613296"/>
    <w:rsid w:val="00617504"/>
    <w:rsid w:val="00617F89"/>
    <w:rsid w:val="006225A8"/>
    <w:rsid w:val="00626FD8"/>
    <w:rsid w:val="00633329"/>
    <w:rsid w:val="00635824"/>
    <w:rsid w:val="00641E98"/>
    <w:rsid w:val="00642C48"/>
    <w:rsid w:val="00644322"/>
    <w:rsid w:val="0064701D"/>
    <w:rsid w:val="00650C84"/>
    <w:rsid w:val="006543C2"/>
    <w:rsid w:val="00664C88"/>
    <w:rsid w:val="00664F8D"/>
    <w:rsid w:val="0066676C"/>
    <w:rsid w:val="00667C1B"/>
    <w:rsid w:val="00670CAE"/>
    <w:rsid w:val="00671B32"/>
    <w:rsid w:val="0067238C"/>
    <w:rsid w:val="0067487D"/>
    <w:rsid w:val="006756DC"/>
    <w:rsid w:val="0067613E"/>
    <w:rsid w:val="0068221D"/>
    <w:rsid w:val="006828DC"/>
    <w:rsid w:val="0068650F"/>
    <w:rsid w:val="00691DDC"/>
    <w:rsid w:val="006A3A1B"/>
    <w:rsid w:val="006C1BA1"/>
    <w:rsid w:val="006C3C8B"/>
    <w:rsid w:val="006C3F54"/>
    <w:rsid w:val="006C79BA"/>
    <w:rsid w:val="006D3C4F"/>
    <w:rsid w:val="006D3F9B"/>
    <w:rsid w:val="006E3FB4"/>
    <w:rsid w:val="006F03CF"/>
    <w:rsid w:val="006F14B9"/>
    <w:rsid w:val="006F3D5E"/>
    <w:rsid w:val="006F3D93"/>
    <w:rsid w:val="00701C5F"/>
    <w:rsid w:val="00705636"/>
    <w:rsid w:val="00714E94"/>
    <w:rsid w:val="00723854"/>
    <w:rsid w:val="00724918"/>
    <w:rsid w:val="007324CA"/>
    <w:rsid w:val="007331CF"/>
    <w:rsid w:val="00733E47"/>
    <w:rsid w:val="00734C4D"/>
    <w:rsid w:val="0074033D"/>
    <w:rsid w:val="00741202"/>
    <w:rsid w:val="0074663C"/>
    <w:rsid w:val="0075056E"/>
    <w:rsid w:val="007510DA"/>
    <w:rsid w:val="00752683"/>
    <w:rsid w:val="00761A29"/>
    <w:rsid w:val="00766559"/>
    <w:rsid w:val="00776332"/>
    <w:rsid w:val="00782EA3"/>
    <w:rsid w:val="00796E10"/>
    <w:rsid w:val="007A53F7"/>
    <w:rsid w:val="007B0270"/>
    <w:rsid w:val="007B05D8"/>
    <w:rsid w:val="007B2213"/>
    <w:rsid w:val="007B4BE6"/>
    <w:rsid w:val="007C4C70"/>
    <w:rsid w:val="007D02C5"/>
    <w:rsid w:val="007D5FE8"/>
    <w:rsid w:val="007F47A5"/>
    <w:rsid w:val="007F5CCD"/>
    <w:rsid w:val="00803446"/>
    <w:rsid w:val="00805115"/>
    <w:rsid w:val="00813961"/>
    <w:rsid w:val="008169FA"/>
    <w:rsid w:val="00817EED"/>
    <w:rsid w:val="0082165E"/>
    <w:rsid w:val="0082265D"/>
    <w:rsid w:val="00823DF1"/>
    <w:rsid w:val="008342CE"/>
    <w:rsid w:val="0084013A"/>
    <w:rsid w:val="00843603"/>
    <w:rsid w:val="00855E3D"/>
    <w:rsid w:val="00863178"/>
    <w:rsid w:val="0086799F"/>
    <w:rsid w:val="008740CD"/>
    <w:rsid w:val="00874212"/>
    <w:rsid w:val="00874C07"/>
    <w:rsid w:val="00874CA6"/>
    <w:rsid w:val="00875F70"/>
    <w:rsid w:val="00877CAE"/>
    <w:rsid w:val="00877E09"/>
    <w:rsid w:val="0089023F"/>
    <w:rsid w:val="00890961"/>
    <w:rsid w:val="00891A7B"/>
    <w:rsid w:val="00893459"/>
    <w:rsid w:val="008A5C40"/>
    <w:rsid w:val="008B0B96"/>
    <w:rsid w:val="008B2280"/>
    <w:rsid w:val="008B5F1F"/>
    <w:rsid w:val="008B797E"/>
    <w:rsid w:val="008C0B6C"/>
    <w:rsid w:val="008C1D86"/>
    <w:rsid w:val="008C7CD5"/>
    <w:rsid w:val="008D06AD"/>
    <w:rsid w:val="008D276B"/>
    <w:rsid w:val="008D3BCC"/>
    <w:rsid w:val="008D53B2"/>
    <w:rsid w:val="008D7761"/>
    <w:rsid w:val="008E76A8"/>
    <w:rsid w:val="008F33C7"/>
    <w:rsid w:val="0090204E"/>
    <w:rsid w:val="0090671C"/>
    <w:rsid w:val="009110EF"/>
    <w:rsid w:val="00914D96"/>
    <w:rsid w:val="009216E9"/>
    <w:rsid w:val="009225F7"/>
    <w:rsid w:val="009258E0"/>
    <w:rsid w:val="009270B8"/>
    <w:rsid w:val="00940D1F"/>
    <w:rsid w:val="009411D6"/>
    <w:rsid w:val="009524A5"/>
    <w:rsid w:val="009557BE"/>
    <w:rsid w:val="00957328"/>
    <w:rsid w:val="00965735"/>
    <w:rsid w:val="009659D4"/>
    <w:rsid w:val="00965C4E"/>
    <w:rsid w:val="009745A8"/>
    <w:rsid w:val="00976717"/>
    <w:rsid w:val="00976E24"/>
    <w:rsid w:val="00983162"/>
    <w:rsid w:val="0098790B"/>
    <w:rsid w:val="00990861"/>
    <w:rsid w:val="00992AB2"/>
    <w:rsid w:val="009961B5"/>
    <w:rsid w:val="009A3358"/>
    <w:rsid w:val="009A3565"/>
    <w:rsid w:val="009A470C"/>
    <w:rsid w:val="009A691C"/>
    <w:rsid w:val="009A6DB3"/>
    <w:rsid w:val="009B0A9A"/>
    <w:rsid w:val="009B3C3D"/>
    <w:rsid w:val="009B4CE4"/>
    <w:rsid w:val="009B4FE5"/>
    <w:rsid w:val="009D07C3"/>
    <w:rsid w:val="009D2B67"/>
    <w:rsid w:val="009D3E0C"/>
    <w:rsid w:val="009D5742"/>
    <w:rsid w:val="009E066B"/>
    <w:rsid w:val="009E60B4"/>
    <w:rsid w:val="009E7E0C"/>
    <w:rsid w:val="009F4DE7"/>
    <w:rsid w:val="009F5BD1"/>
    <w:rsid w:val="00A026DA"/>
    <w:rsid w:val="00A02BC9"/>
    <w:rsid w:val="00A036EB"/>
    <w:rsid w:val="00A04C16"/>
    <w:rsid w:val="00A10C0C"/>
    <w:rsid w:val="00A12D10"/>
    <w:rsid w:val="00A214CD"/>
    <w:rsid w:val="00A219F3"/>
    <w:rsid w:val="00A21F4E"/>
    <w:rsid w:val="00A236D1"/>
    <w:rsid w:val="00A37199"/>
    <w:rsid w:val="00A407DE"/>
    <w:rsid w:val="00A424EB"/>
    <w:rsid w:val="00A42BA7"/>
    <w:rsid w:val="00A42EB5"/>
    <w:rsid w:val="00A434CB"/>
    <w:rsid w:val="00A43B40"/>
    <w:rsid w:val="00A4619B"/>
    <w:rsid w:val="00A472B2"/>
    <w:rsid w:val="00A515B3"/>
    <w:rsid w:val="00A5295F"/>
    <w:rsid w:val="00A5684C"/>
    <w:rsid w:val="00A57371"/>
    <w:rsid w:val="00A61D72"/>
    <w:rsid w:val="00A63DCF"/>
    <w:rsid w:val="00A6701A"/>
    <w:rsid w:val="00A6727D"/>
    <w:rsid w:val="00A7039A"/>
    <w:rsid w:val="00A762D5"/>
    <w:rsid w:val="00A82C93"/>
    <w:rsid w:val="00A83799"/>
    <w:rsid w:val="00A90F5D"/>
    <w:rsid w:val="00A9346D"/>
    <w:rsid w:val="00A95829"/>
    <w:rsid w:val="00A95972"/>
    <w:rsid w:val="00A96F53"/>
    <w:rsid w:val="00AA0CB8"/>
    <w:rsid w:val="00AA4752"/>
    <w:rsid w:val="00AA5A87"/>
    <w:rsid w:val="00AA710C"/>
    <w:rsid w:val="00AB2A83"/>
    <w:rsid w:val="00AB3A14"/>
    <w:rsid w:val="00AB7846"/>
    <w:rsid w:val="00AC1AC0"/>
    <w:rsid w:val="00AC2F62"/>
    <w:rsid w:val="00AD04C2"/>
    <w:rsid w:val="00AD1766"/>
    <w:rsid w:val="00AD228F"/>
    <w:rsid w:val="00AD7313"/>
    <w:rsid w:val="00AE4F34"/>
    <w:rsid w:val="00AE6F7B"/>
    <w:rsid w:val="00AF10DC"/>
    <w:rsid w:val="00AF153C"/>
    <w:rsid w:val="00AF25F6"/>
    <w:rsid w:val="00AF3556"/>
    <w:rsid w:val="00AF5644"/>
    <w:rsid w:val="00AF5668"/>
    <w:rsid w:val="00B00791"/>
    <w:rsid w:val="00B01178"/>
    <w:rsid w:val="00B031B3"/>
    <w:rsid w:val="00B105FD"/>
    <w:rsid w:val="00B1299D"/>
    <w:rsid w:val="00B16408"/>
    <w:rsid w:val="00B17166"/>
    <w:rsid w:val="00B23C26"/>
    <w:rsid w:val="00B23EEA"/>
    <w:rsid w:val="00B31FC5"/>
    <w:rsid w:val="00B33745"/>
    <w:rsid w:val="00B33A8A"/>
    <w:rsid w:val="00B3415C"/>
    <w:rsid w:val="00B342F9"/>
    <w:rsid w:val="00B34916"/>
    <w:rsid w:val="00B440FC"/>
    <w:rsid w:val="00B47160"/>
    <w:rsid w:val="00B54325"/>
    <w:rsid w:val="00B56F2A"/>
    <w:rsid w:val="00B5728D"/>
    <w:rsid w:val="00B62308"/>
    <w:rsid w:val="00B736BB"/>
    <w:rsid w:val="00B74B86"/>
    <w:rsid w:val="00B76EC3"/>
    <w:rsid w:val="00B80F78"/>
    <w:rsid w:val="00B84E9C"/>
    <w:rsid w:val="00B86103"/>
    <w:rsid w:val="00B93BEC"/>
    <w:rsid w:val="00B94E8D"/>
    <w:rsid w:val="00B96721"/>
    <w:rsid w:val="00BA62F8"/>
    <w:rsid w:val="00BB3128"/>
    <w:rsid w:val="00BC0DCB"/>
    <w:rsid w:val="00BC1075"/>
    <w:rsid w:val="00BC43E9"/>
    <w:rsid w:val="00BC625B"/>
    <w:rsid w:val="00BD1773"/>
    <w:rsid w:val="00BD2573"/>
    <w:rsid w:val="00BD25A9"/>
    <w:rsid w:val="00BD51D2"/>
    <w:rsid w:val="00BD5BAB"/>
    <w:rsid w:val="00BD62C5"/>
    <w:rsid w:val="00BD7627"/>
    <w:rsid w:val="00BE04BF"/>
    <w:rsid w:val="00BE0A39"/>
    <w:rsid w:val="00BE0FE8"/>
    <w:rsid w:val="00BE5998"/>
    <w:rsid w:val="00BE7B64"/>
    <w:rsid w:val="00BF3288"/>
    <w:rsid w:val="00BF3867"/>
    <w:rsid w:val="00C0158B"/>
    <w:rsid w:val="00C11C47"/>
    <w:rsid w:val="00C13BC6"/>
    <w:rsid w:val="00C156AF"/>
    <w:rsid w:val="00C1585B"/>
    <w:rsid w:val="00C239A6"/>
    <w:rsid w:val="00C27603"/>
    <w:rsid w:val="00C30A8F"/>
    <w:rsid w:val="00C33AF2"/>
    <w:rsid w:val="00C35526"/>
    <w:rsid w:val="00C3646E"/>
    <w:rsid w:val="00C4593F"/>
    <w:rsid w:val="00C45C2D"/>
    <w:rsid w:val="00C6289E"/>
    <w:rsid w:val="00C62C80"/>
    <w:rsid w:val="00C8123B"/>
    <w:rsid w:val="00C862E4"/>
    <w:rsid w:val="00CA4278"/>
    <w:rsid w:val="00CB2E64"/>
    <w:rsid w:val="00CC1629"/>
    <w:rsid w:val="00CC2D91"/>
    <w:rsid w:val="00CC493E"/>
    <w:rsid w:val="00CC5A87"/>
    <w:rsid w:val="00CC7210"/>
    <w:rsid w:val="00CD14E0"/>
    <w:rsid w:val="00CD2077"/>
    <w:rsid w:val="00CD2DFF"/>
    <w:rsid w:val="00CD70F9"/>
    <w:rsid w:val="00CE15EC"/>
    <w:rsid w:val="00CE6E92"/>
    <w:rsid w:val="00D01AF5"/>
    <w:rsid w:val="00D01D85"/>
    <w:rsid w:val="00D07AE5"/>
    <w:rsid w:val="00D14376"/>
    <w:rsid w:val="00D15EAF"/>
    <w:rsid w:val="00D23863"/>
    <w:rsid w:val="00D239B2"/>
    <w:rsid w:val="00D31E70"/>
    <w:rsid w:val="00D45A28"/>
    <w:rsid w:val="00D51746"/>
    <w:rsid w:val="00D55AB6"/>
    <w:rsid w:val="00D56046"/>
    <w:rsid w:val="00D57757"/>
    <w:rsid w:val="00D7059C"/>
    <w:rsid w:val="00D72073"/>
    <w:rsid w:val="00D76C32"/>
    <w:rsid w:val="00D908E4"/>
    <w:rsid w:val="00D93EF8"/>
    <w:rsid w:val="00D95ED3"/>
    <w:rsid w:val="00DA7A0F"/>
    <w:rsid w:val="00DB4249"/>
    <w:rsid w:val="00DB6E98"/>
    <w:rsid w:val="00DB71AD"/>
    <w:rsid w:val="00DB760F"/>
    <w:rsid w:val="00DC03BE"/>
    <w:rsid w:val="00DD0619"/>
    <w:rsid w:val="00DD16BD"/>
    <w:rsid w:val="00DD2910"/>
    <w:rsid w:val="00DD5B78"/>
    <w:rsid w:val="00DF279D"/>
    <w:rsid w:val="00E0461D"/>
    <w:rsid w:val="00E05E57"/>
    <w:rsid w:val="00E0723F"/>
    <w:rsid w:val="00E12ADF"/>
    <w:rsid w:val="00E168EB"/>
    <w:rsid w:val="00E21883"/>
    <w:rsid w:val="00E22C32"/>
    <w:rsid w:val="00E25E95"/>
    <w:rsid w:val="00E27DD6"/>
    <w:rsid w:val="00E327A7"/>
    <w:rsid w:val="00E33E0E"/>
    <w:rsid w:val="00E34AE5"/>
    <w:rsid w:val="00E34BF1"/>
    <w:rsid w:val="00E3772B"/>
    <w:rsid w:val="00E413CF"/>
    <w:rsid w:val="00E44DFD"/>
    <w:rsid w:val="00E44E66"/>
    <w:rsid w:val="00E47FA3"/>
    <w:rsid w:val="00E50642"/>
    <w:rsid w:val="00E61553"/>
    <w:rsid w:val="00E63737"/>
    <w:rsid w:val="00E641DA"/>
    <w:rsid w:val="00E82C21"/>
    <w:rsid w:val="00E9251D"/>
    <w:rsid w:val="00E95C09"/>
    <w:rsid w:val="00EA0B35"/>
    <w:rsid w:val="00EA160B"/>
    <w:rsid w:val="00EA5FAE"/>
    <w:rsid w:val="00EB1F10"/>
    <w:rsid w:val="00EB56FB"/>
    <w:rsid w:val="00EC070F"/>
    <w:rsid w:val="00ED17C9"/>
    <w:rsid w:val="00ED7187"/>
    <w:rsid w:val="00EE308B"/>
    <w:rsid w:val="00EE40F4"/>
    <w:rsid w:val="00EE64A2"/>
    <w:rsid w:val="00EE7935"/>
    <w:rsid w:val="00EF7C83"/>
    <w:rsid w:val="00F03DDD"/>
    <w:rsid w:val="00F1532A"/>
    <w:rsid w:val="00F16216"/>
    <w:rsid w:val="00F2197B"/>
    <w:rsid w:val="00F22EB2"/>
    <w:rsid w:val="00F2421E"/>
    <w:rsid w:val="00F25AE1"/>
    <w:rsid w:val="00F30304"/>
    <w:rsid w:val="00F41C0F"/>
    <w:rsid w:val="00F43C1C"/>
    <w:rsid w:val="00F45E52"/>
    <w:rsid w:val="00F47FA4"/>
    <w:rsid w:val="00F550E9"/>
    <w:rsid w:val="00F55B39"/>
    <w:rsid w:val="00F56A1F"/>
    <w:rsid w:val="00F6325D"/>
    <w:rsid w:val="00F7401A"/>
    <w:rsid w:val="00F746CB"/>
    <w:rsid w:val="00F83072"/>
    <w:rsid w:val="00F83177"/>
    <w:rsid w:val="00F83317"/>
    <w:rsid w:val="00F83964"/>
    <w:rsid w:val="00F97EC4"/>
    <w:rsid w:val="00FA2147"/>
    <w:rsid w:val="00FA25D9"/>
    <w:rsid w:val="00FA5A67"/>
    <w:rsid w:val="00FC2AD0"/>
    <w:rsid w:val="00FC54DC"/>
    <w:rsid w:val="00FE3F92"/>
    <w:rsid w:val="00FE68C6"/>
    <w:rsid w:val="00FE6EA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38BCF"/>
  <w15:docId w15:val="{84735E4F-8AB6-574F-AA75-F9CBBBAD7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079"/>
    <w:pPr>
      <w:spacing w:after="0" w:line="240" w:lineRule="auto"/>
    </w:pPr>
    <w:rPr>
      <w:rFonts w:ascii="Times New Roman" w:eastAsia="Times New Roman" w:hAnsi="Times New Roman" w:cs="Times New Roman"/>
      <w:sz w:val="24"/>
      <w:szCs w:val="24"/>
    </w:rPr>
  </w:style>
  <w:style w:type="paragraph" w:styleId="Titre1">
    <w:name w:val="heading 1"/>
    <w:basedOn w:val="Normal"/>
    <w:next w:val="Normal"/>
    <w:link w:val="Titre1Car"/>
    <w:uiPriority w:val="99"/>
    <w:qFormat/>
    <w:rsid w:val="000B7079"/>
    <w:pPr>
      <w:keepNext/>
      <w:numPr>
        <w:numId w:val="1"/>
      </w:numPr>
      <w:pBdr>
        <w:bottom w:val="single" w:sz="4" w:space="1" w:color="auto"/>
      </w:pBdr>
      <w:outlineLvl w:val="0"/>
    </w:pPr>
    <w:rPr>
      <w:b/>
      <w:bCs/>
      <w:sz w:val="28"/>
      <w:lang w:val="fr-CH" w:bidi="he-IL"/>
    </w:rPr>
  </w:style>
  <w:style w:type="paragraph" w:styleId="Titre2">
    <w:name w:val="heading 2"/>
    <w:basedOn w:val="Normal"/>
    <w:next w:val="Normal"/>
    <w:link w:val="Titre2Car"/>
    <w:uiPriority w:val="99"/>
    <w:qFormat/>
    <w:rsid w:val="000B7079"/>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0B7079"/>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0B7079"/>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0B7079"/>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0B7079"/>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0B7079"/>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0B7079"/>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0B7079"/>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B7079"/>
    <w:rPr>
      <w:rFonts w:ascii="Times New Roman" w:eastAsia="Times New Roman" w:hAnsi="Times New Roman" w:cs="Times New Roman"/>
      <w:b/>
      <w:bCs/>
      <w:sz w:val="28"/>
      <w:szCs w:val="24"/>
      <w:lang w:val="fr-CH" w:bidi="he-IL"/>
    </w:rPr>
  </w:style>
  <w:style w:type="character" w:customStyle="1" w:styleId="Titre2Car">
    <w:name w:val="Titre 2 Car"/>
    <w:basedOn w:val="Policepardfaut"/>
    <w:link w:val="Titre2"/>
    <w:uiPriority w:val="99"/>
    <w:rsid w:val="000B7079"/>
    <w:rPr>
      <w:rFonts w:ascii="Arial" w:eastAsia="Times New Roman" w:hAnsi="Arial" w:cs="Arial"/>
      <w:b/>
      <w:bCs/>
      <w:i/>
      <w:iCs/>
      <w:sz w:val="28"/>
      <w:szCs w:val="28"/>
      <w:lang w:val="en-US"/>
    </w:rPr>
  </w:style>
  <w:style w:type="character" w:customStyle="1" w:styleId="Titre3Car">
    <w:name w:val="Titre 3 Car"/>
    <w:basedOn w:val="Policepardfaut"/>
    <w:link w:val="Titre3"/>
    <w:uiPriority w:val="99"/>
    <w:rsid w:val="000B7079"/>
    <w:rPr>
      <w:rFonts w:ascii="Arial" w:eastAsia="Times New Roman" w:hAnsi="Arial" w:cs="Arial"/>
      <w:b/>
      <w:bCs/>
      <w:sz w:val="26"/>
      <w:szCs w:val="26"/>
      <w:lang w:val="en-US"/>
    </w:rPr>
  </w:style>
  <w:style w:type="character" w:customStyle="1" w:styleId="Titre4Car">
    <w:name w:val="Titre 4 Car"/>
    <w:basedOn w:val="Policepardfaut"/>
    <w:link w:val="Titre4"/>
    <w:uiPriority w:val="99"/>
    <w:rsid w:val="000B7079"/>
    <w:rPr>
      <w:rFonts w:ascii="Times New Roman" w:eastAsia="Times New Roman" w:hAnsi="Times New Roman" w:cs="Times New Roman"/>
      <w:b/>
      <w:bCs/>
      <w:sz w:val="28"/>
      <w:szCs w:val="28"/>
      <w:lang w:val="en-US"/>
    </w:rPr>
  </w:style>
  <w:style w:type="character" w:customStyle="1" w:styleId="Titre5Car">
    <w:name w:val="Titre 5 Car"/>
    <w:basedOn w:val="Policepardfaut"/>
    <w:link w:val="Titre5"/>
    <w:uiPriority w:val="99"/>
    <w:rsid w:val="000B7079"/>
    <w:rPr>
      <w:rFonts w:ascii="Rockwell" w:eastAsia="Times New Roman" w:hAnsi="Rockwell" w:cs="Times New Roman"/>
      <w:color w:val="365338"/>
      <w:sz w:val="24"/>
      <w:szCs w:val="24"/>
      <w:lang w:val="en-US"/>
    </w:rPr>
  </w:style>
  <w:style w:type="character" w:customStyle="1" w:styleId="Titre6Car">
    <w:name w:val="Titre 6 Car"/>
    <w:basedOn w:val="Policepardfaut"/>
    <w:link w:val="Titre6"/>
    <w:uiPriority w:val="99"/>
    <w:rsid w:val="000B7079"/>
    <w:rPr>
      <w:rFonts w:ascii="Rockwell" w:eastAsia="Times New Roman" w:hAnsi="Rockwell" w:cs="Times New Roman"/>
      <w:i/>
      <w:iCs/>
      <w:color w:val="365338"/>
      <w:sz w:val="24"/>
      <w:szCs w:val="24"/>
      <w:lang w:val="en-US"/>
    </w:rPr>
  </w:style>
  <w:style w:type="character" w:customStyle="1" w:styleId="Titre7Car">
    <w:name w:val="Titre 7 Car"/>
    <w:basedOn w:val="Policepardfaut"/>
    <w:link w:val="Titre7"/>
    <w:uiPriority w:val="99"/>
    <w:rsid w:val="000B7079"/>
    <w:rPr>
      <w:rFonts w:ascii="Rockwell" w:eastAsia="Times New Roman" w:hAnsi="Rockwell" w:cs="Times New Roman"/>
      <w:i/>
      <w:iCs/>
      <w:color w:val="404040"/>
      <w:sz w:val="24"/>
      <w:szCs w:val="24"/>
      <w:lang w:val="en-US"/>
    </w:rPr>
  </w:style>
  <w:style w:type="character" w:customStyle="1" w:styleId="Titre8Car">
    <w:name w:val="Titre 8 Car"/>
    <w:basedOn w:val="Policepardfaut"/>
    <w:link w:val="Titre8"/>
    <w:uiPriority w:val="99"/>
    <w:rsid w:val="000B7079"/>
    <w:rPr>
      <w:rFonts w:ascii="Rockwell" w:eastAsia="Times New Roman" w:hAnsi="Rockwell" w:cs="Times New Roman"/>
      <w:color w:val="404040"/>
      <w:sz w:val="20"/>
      <w:szCs w:val="20"/>
      <w:lang w:val="en-US"/>
    </w:rPr>
  </w:style>
  <w:style w:type="character" w:customStyle="1" w:styleId="Titre9Car">
    <w:name w:val="Titre 9 Car"/>
    <w:basedOn w:val="Policepardfaut"/>
    <w:link w:val="Titre9"/>
    <w:uiPriority w:val="99"/>
    <w:rsid w:val="000B7079"/>
    <w:rPr>
      <w:rFonts w:ascii="Rockwell" w:eastAsia="Times New Roman" w:hAnsi="Rockwell" w:cs="Times New Roman"/>
      <w:i/>
      <w:iCs/>
      <w:color w:val="404040"/>
      <w:sz w:val="20"/>
      <w:szCs w:val="20"/>
      <w:lang w:val="en-US"/>
    </w:rPr>
  </w:style>
  <w:style w:type="paragraph" w:styleId="En-tte">
    <w:name w:val="header"/>
    <w:basedOn w:val="Normal"/>
    <w:link w:val="En-tteCar"/>
    <w:uiPriority w:val="99"/>
    <w:rsid w:val="000B7079"/>
    <w:pPr>
      <w:tabs>
        <w:tab w:val="center" w:pos="4536"/>
        <w:tab w:val="right" w:pos="9072"/>
      </w:tabs>
    </w:pPr>
  </w:style>
  <w:style w:type="character" w:customStyle="1" w:styleId="En-tteCar">
    <w:name w:val="En-tête Car"/>
    <w:basedOn w:val="Policepardfaut"/>
    <w:link w:val="En-tte"/>
    <w:uiPriority w:val="99"/>
    <w:rsid w:val="000B7079"/>
    <w:rPr>
      <w:rFonts w:ascii="Times New Roman" w:eastAsia="Times New Roman" w:hAnsi="Times New Roman" w:cs="Times New Roman"/>
      <w:sz w:val="24"/>
      <w:szCs w:val="24"/>
      <w:lang w:val="en-US"/>
    </w:rPr>
  </w:style>
  <w:style w:type="table" w:styleId="Grilledutableau">
    <w:name w:val="Table Grid"/>
    <w:basedOn w:val="TableauNormal"/>
    <w:uiPriority w:val="59"/>
    <w:rsid w:val="000B7079"/>
    <w:pPr>
      <w:spacing w:after="0" w:line="240" w:lineRule="auto"/>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rsid w:val="000B7079"/>
    <w:rPr>
      <w:rFonts w:cs="Times New Roman"/>
      <w:color w:val="DB5353"/>
      <w:u w:val="single"/>
    </w:rPr>
  </w:style>
  <w:style w:type="paragraph" w:styleId="Paragraphedeliste">
    <w:name w:val="List Paragraph"/>
    <w:basedOn w:val="Normal"/>
    <w:uiPriority w:val="34"/>
    <w:qFormat/>
    <w:rsid w:val="000B7079"/>
    <w:pPr>
      <w:ind w:left="720"/>
      <w:contextualSpacing/>
    </w:pPr>
  </w:style>
  <w:style w:type="paragraph" w:styleId="TM1">
    <w:name w:val="toc 1"/>
    <w:basedOn w:val="Normal"/>
    <w:next w:val="Normal"/>
    <w:autoRedefine/>
    <w:uiPriority w:val="39"/>
    <w:rsid w:val="000B7079"/>
    <w:pPr>
      <w:tabs>
        <w:tab w:val="left" w:pos="709"/>
        <w:tab w:val="right" w:leader="dot" w:pos="9062"/>
      </w:tabs>
      <w:spacing w:after="100"/>
    </w:pPr>
    <w:rPr>
      <w:noProof/>
      <w:lang w:bidi="he-IL"/>
    </w:rPr>
  </w:style>
  <w:style w:type="paragraph" w:styleId="NormalWeb">
    <w:name w:val="Normal (Web)"/>
    <w:basedOn w:val="Normal"/>
    <w:uiPriority w:val="99"/>
    <w:unhideWhenUsed/>
    <w:rsid w:val="000B7079"/>
    <w:pPr>
      <w:spacing w:before="100" w:beforeAutospacing="1" w:after="100" w:afterAutospacing="1"/>
    </w:pPr>
    <w:rPr>
      <w:lang w:val="fr-BE" w:eastAsia="fr-BE"/>
    </w:rPr>
  </w:style>
  <w:style w:type="table" w:customStyle="1" w:styleId="Grilledetableauclaire1">
    <w:name w:val="Grille de tableau claire1"/>
    <w:basedOn w:val="TableauNormal"/>
    <w:uiPriority w:val="40"/>
    <w:rsid w:val="000B7079"/>
    <w:pPr>
      <w:spacing w:after="0" w:line="240" w:lineRule="auto"/>
    </w:pPr>
    <w:rPr>
      <w:rFonts w:ascii="Times New Roman" w:eastAsia="Times New Roman" w:hAnsi="Times New Roman" w:cs="Times New Roman"/>
      <w:sz w:val="20"/>
      <w:szCs w:val="20"/>
      <w:lang w:val="fr-BE" w:eastAsia="fr-B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ccentuation">
    <w:name w:val="Emphasis"/>
    <w:basedOn w:val="Policepardfaut"/>
    <w:qFormat/>
    <w:rsid w:val="000B7079"/>
    <w:rPr>
      <w:i/>
      <w:iCs/>
    </w:rPr>
  </w:style>
  <w:style w:type="paragraph" w:styleId="Textedebulles">
    <w:name w:val="Balloon Text"/>
    <w:basedOn w:val="Normal"/>
    <w:link w:val="TextedebullesCar"/>
    <w:uiPriority w:val="99"/>
    <w:semiHidden/>
    <w:unhideWhenUsed/>
    <w:rsid w:val="00733E47"/>
    <w:rPr>
      <w:rFonts w:ascii="Tahoma" w:hAnsi="Tahoma" w:cs="Tahoma"/>
      <w:sz w:val="16"/>
      <w:szCs w:val="16"/>
    </w:rPr>
  </w:style>
  <w:style w:type="character" w:customStyle="1" w:styleId="TextedebullesCar">
    <w:name w:val="Texte de bulles Car"/>
    <w:basedOn w:val="Policepardfaut"/>
    <w:link w:val="Textedebulles"/>
    <w:uiPriority w:val="99"/>
    <w:semiHidden/>
    <w:rsid w:val="00733E47"/>
    <w:rPr>
      <w:rFonts w:ascii="Tahoma" w:eastAsia="Times New Roman" w:hAnsi="Tahoma" w:cs="Tahoma"/>
      <w:sz w:val="16"/>
      <w:szCs w:val="16"/>
    </w:rPr>
  </w:style>
  <w:style w:type="character" w:styleId="Marquedecommentaire">
    <w:name w:val="annotation reference"/>
    <w:basedOn w:val="Policepardfaut"/>
    <w:uiPriority w:val="99"/>
    <w:semiHidden/>
    <w:unhideWhenUsed/>
    <w:rsid w:val="0007711E"/>
    <w:rPr>
      <w:sz w:val="16"/>
      <w:szCs w:val="16"/>
    </w:rPr>
  </w:style>
  <w:style w:type="paragraph" w:styleId="Commentaire">
    <w:name w:val="annotation text"/>
    <w:basedOn w:val="Normal"/>
    <w:link w:val="CommentaireCar"/>
    <w:uiPriority w:val="99"/>
    <w:semiHidden/>
    <w:unhideWhenUsed/>
    <w:rsid w:val="0007711E"/>
    <w:rPr>
      <w:sz w:val="20"/>
      <w:szCs w:val="20"/>
    </w:rPr>
  </w:style>
  <w:style w:type="character" w:customStyle="1" w:styleId="CommentaireCar">
    <w:name w:val="Commentaire Car"/>
    <w:basedOn w:val="Policepardfaut"/>
    <w:link w:val="Commentaire"/>
    <w:uiPriority w:val="99"/>
    <w:semiHidden/>
    <w:rsid w:val="0007711E"/>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07711E"/>
    <w:rPr>
      <w:b/>
      <w:bCs/>
    </w:rPr>
  </w:style>
  <w:style w:type="character" w:customStyle="1" w:styleId="ObjetducommentaireCar">
    <w:name w:val="Objet du commentaire Car"/>
    <w:basedOn w:val="CommentaireCar"/>
    <w:link w:val="Objetducommentaire"/>
    <w:uiPriority w:val="99"/>
    <w:semiHidden/>
    <w:rsid w:val="0007711E"/>
    <w:rPr>
      <w:rFonts w:ascii="Times New Roman" w:eastAsia="Times New Roman" w:hAnsi="Times New Roman" w:cs="Times New Roman"/>
      <w:b/>
      <w:bCs/>
      <w:sz w:val="20"/>
      <w:szCs w:val="20"/>
    </w:rPr>
  </w:style>
  <w:style w:type="paragraph" w:styleId="Rvision">
    <w:name w:val="Revision"/>
    <w:hidden/>
    <w:uiPriority w:val="99"/>
    <w:semiHidden/>
    <w:rsid w:val="0007711E"/>
    <w:pPr>
      <w:spacing w:after="0" w:line="240" w:lineRule="auto"/>
    </w:pPr>
    <w:rPr>
      <w:rFonts w:ascii="Times New Roman" w:eastAsia="Times New Roman" w:hAnsi="Times New Roman" w:cs="Times New Roman"/>
      <w:sz w:val="24"/>
      <w:szCs w:val="24"/>
    </w:rPr>
  </w:style>
  <w:style w:type="paragraph" w:styleId="Pieddepage">
    <w:name w:val="footer"/>
    <w:basedOn w:val="Normal"/>
    <w:link w:val="PieddepageCar"/>
    <w:uiPriority w:val="99"/>
    <w:semiHidden/>
    <w:unhideWhenUsed/>
    <w:rsid w:val="00BE7B64"/>
    <w:pPr>
      <w:tabs>
        <w:tab w:val="center" w:pos="4536"/>
        <w:tab w:val="right" w:pos="9072"/>
      </w:tabs>
    </w:pPr>
  </w:style>
  <w:style w:type="character" w:customStyle="1" w:styleId="PieddepageCar">
    <w:name w:val="Pied de page Car"/>
    <w:basedOn w:val="Policepardfaut"/>
    <w:link w:val="Pieddepage"/>
    <w:uiPriority w:val="99"/>
    <w:semiHidden/>
    <w:rsid w:val="00BE7B64"/>
    <w:rPr>
      <w:rFonts w:ascii="Times New Roman" w:eastAsia="Times New Roman" w:hAnsi="Times New Roman" w:cs="Times New Roman"/>
      <w:sz w:val="24"/>
      <w:szCs w:val="24"/>
    </w:rPr>
  </w:style>
  <w:style w:type="paragraph" w:styleId="Corpsdetexte3">
    <w:name w:val="Body Text 3"/>
    <w:link w:val="Corpsdetexte3Car"/>
    <w:uiPriority w:val="99"/>
    <w:semiHidden/>
    <w:unhideWhenUsed/>
    <w:rsid w:val="00957328"/>
    <w:pPr>
      <w:spacing w:after="120" w:line="240" w:lineRule="auto"/>
      <w:jc w:val="center"/>
    </w:pPr>
    <w:rPr>
      <w:rFonts w:ascii="Perpetua" w:eastAsia="Times New Roman" w:hAnsi="Perpetua" w:cs="Times New Roman"/>
      <w:color w:val="000000"/>
      <w:kern w:val="28"/>
      <w:sz w:val="32"/>
      <w:szCs w:val="32"/>
      <w:lang w:eastAsia="fr-FR"/>
    </w:rPr>
  </w:style>
  <w:style w:type="character" w:customStyle="1" w:styleId="Corpsdetexte3Car">
    <w:name w:val="Corps de texte 3 Car"/>
    <w:basedOn w:val="Policepardfaut"/>
    <w:link w:val="Corpsdetexte3"/>
    <w:uiPriority w:val="99"/>
    <w:semiHidden/>
    <w:rsid w:val="00957328"/>
    <w:rPr>
      <w:rFonts w:ascii="Perpetua" w:eastAsia="Times New Roman" w:hAnsi="Perpetua" w:cs="Times New Roman"/>
      <w:color w:val="000000"/>
      <w:kern w:val="28"/>
      <w:sz w:val="32"/>
      <w:szCs w:val="32"/>
      <w:lang w:eastAsia="fr-FR"/>
    </w:rPr>
  </w:style>
  <w:style w:type="character" w:customStyle="1" w:styleId="textexposedshow">
    <w:name w:val="text_exposed_show"/>
    <w:basedOn w:val="Policepardfaut"/>
    <w:rsid w:val="00296889"/>
  </w:style>
  <w:style w:type="character" w:styleId="lev">
    <w:name w:val="Strong"/>
    <w:basedOn w:val="Policepardfaut"/>
    <w:uiPriority w:val="22"/>
    <w:qFormat/>
    <w:rsid w:val="007238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2977522">
      <w:bodyDiv w:val="1"/>
      <w:marLeft w:val="0"/>
      <w:marRight w:val="0"/>
      <w:marTop w:val="0"/>
      <w:marBottom w:val="0"/>
      <w:divBdr>
        <w:top w:val="none" w:sz="0" w:space="0" w:color="auto"/>
        <w:left w:val="none" w:sz="0" w:space="0" w:color="auto"/>
        <w:bottom w:val="none" w:sz="0" w:space="0" w:color="auto"/>
        <w:right w:val="none" w:sz="0" w:space="0" w:color="auto"/>
      </w:divBdr>
      <w:divsChild>
        <w:div w:id="1940873797">
          <w:marLeft w:val="0"/>
          <w:marRight w:val="0"/>
          <w:marTop w:val="0"/>
          <w:marBottom w:val="0"/>
          <w:divBdr>
            <w:top w:val="none" w:sz="0" w:space="0" w:color="auto"/>
            <w:left w:val="none" w:sz="0" w:space="0" w:color="auto"/>
            <w:bottom w:val="none" w:sz="0" w:space="0" w:color="auto"/>
            <w:right w:val="none" w:sz="0" w:space="0" w:color="auto"/>
          </w:divBdr>
        </w:div>
      </w:divsChild>
    </w:div>
    <w:div w:id="1020012276">
      <w:bodyDiv w:val="1"/>
      <w:marLeft w:val="0"/>
      <w:marRight w:val="0"/>
      <w:marTop w:val="0"/>
      <w:marBottom w:val="0"/>
      <w:divBdr>
        <w:top w:val="none" w:sz="0" w:space="0" w:color="auto"/>
        <w:left w:val="none" w:sz="0" w:space="0" w:color="auto"/>
        <w:bottom w:val="none" w:sz="0" w:space="0" w:color="auto"/>
        <w:right w:val="none" w:sz="0" w:space="0" w:color="auto"/>
      </w:divBdr>
      <w:divsChild>
        <w:div w:id="1773090730">
          <w:marLeft w:val="0"/>
          <w:marRight w:val="0"/>
          <w:marTop w:val="0"/>
          <w:marBottom w:val="0"/>
          <w:divBdr>
            <w:top w:val="none" w:sz="0" w:space="0" w:color="auto"/>
            <w:left w:val="none" w:sz="0" w:space="0" w:color="auto"/>
            <w:bottom w:val="none" w:sz="0" w:space="0" w:color="auto"/>
            <w:right w:val="none" w:sz="0" w:space="0" w:color="auto"/>
          </w:divBdr>
        </w:div>
        <w:div w:id="124086703">
          <w:marLeft w:val="0"/>
          <w:marRight w:val="0"/>
          <w:marTop w:val="0"/>
          <w:marBottom w:val="0"/>
          <w:divBdr>
            <w:top w:val="none" w:sz="0" w:space="0" w:color="auto"/>
            <w:left w:val="none" w:sz="0" w:space="0" w:color="auto"/>
            <w:bottom w:val="none" w:sz="0" w:space="0" w:color="auto"/>
            <w:right w:val="none" w:sz="0" w:space="0" w:color="auto"/>
          </w:divBdr>
        </w:div>
        <w:div w:id="5450879">
          <w:marLeft w:val="0"/>
          <w:marRight w:val="0"/>
          <w:marTop w:val="0"/>
          <w:marBottom w:val="0"/>
          <w:divBdr>
            <w:top w:val="none" w:sz="0" w:space="0" w:color="auto"/>
            <w:left w:val="none" w:sz="0" w:space="0" w:color="auto"/>
            <w:bottom w:val="none" w:sz="0" w:space="0" w:color="auto"/>
            <w:right w:val="none" w:sz="0" w:space="0" w:color="auto"/>
          </w:divBdr>
        </w:div>
        <w:div w:id="544485695">
          <w:marLeft w:val="0"/>
          <w:marRight w:val="0"/>
          <w:marTop w:val="0"/>
          <w:marBottom w:val="0"/>
          <w:divBdr>
            <w:top w:val="none" w:sz="0" w:space="0" w:color="auto"/>
            <w:left w:val="none" w:sz="0" w:space="0" w:color="auto"/>
            <w:bottom w:val="none" w:sz="0" w:space="0" w:color="auto"/>
            <w:right w:val="none" w:sz="0" w:space="0" w:color="auto"/>
          </w:divBdr>
        </w:div>
        <w:div w:id="1681467536">
          <w:marLeft w:val="0"/>
          <w:marRight w:val="0"/>
          <w:marTop w:val="0"/>
          <w:marBottom w:val="0"/>
          <w:divBdr>
            <w:top w:val="none" w:sz="0" w:space="0" w:color="auto"/>
            <w:left w:val="none" w:sz="0" w:space="0" w:color="auto"/>
            <w:bottom w:val="none" w:sz="0" w:space="0" w:color="auto"/>
            <w:right w:val="none" w:sz="0" w:space="0" w:color="auto"/>
          </w:divBdr>
        </w:div>
        <w:div w:id="675689787">
          <w:marLeft w:val="0"/>
          <w:marRight w:val="0"/>
          <w:marTop w:val="0"/>
          <w:marBottom w:val="0"/>
          <w:divBdr>
            <w:top w:val="none" w:sz="0" w:space="0" w:color="auto"/>
            <w:left w:val="none" w:sz="0" w:space="0" w:color="auto"/>
            <w:bottom w:val="none" w:sz="0" w:space="0" w:color="auto"/>
            <w:right w:val="none" w:sz="0" w:space="0" w:color="auto"/>
          </w:divBdr>
        </w:div>
        <w:div w:id="509298842">
          <w:marLeft w:val="0"/>
          <w:marRight w:val="0"/>
          <w:marTop w:val="0"/>
          <w:marBottom w:val="0"/>
          <w:divBdr>
            <w:top w:val="none" w:sz="0" w:space="0" w:color="auto"/>
            <w:left w:val="none" w:sz="0" w:space="0" w:color="auto"/>
            <w:bottom w:val="none" w:sz="0" w:space="0" w:color="auto"/>
            <w:right w:val="none" w:sz="0" w:space="0" w:color="auto"/>
          </w:divBdr>
        </w:div>
        <w:div w:id="1382095928">
          <w:marLeft w:val="0"/>
          <w:marRight w:val="0"/>
          <w:marTop w:val="0"/>
          <w:marBottom w:val="0"/>
          <w:divBdr>
            <w:top w:val="none" w:sz="0" w:space="0" w:color="auto"/>
            <w:left w:val="none" w:sz="0" w:space="0" w:color="auto"/>
            <w:bottom w:val="none" w:sz="0" w:space="0" w:color="auto"/>
            <w:right w:val="none" w:sz="0" w:space="0" w:color="auto"/>
          </w:divBdr>
        </w:div>
        <w:div w:id="356662288">
          <w:marLeft w:val="0"/>
          <w:marRight w:val="0"/>
          <w:marTop w:val="0"/>
          <w:marBottom w:val="0"/>
          <w:divBdr>
            <w:top w:val="none" w:sz="0" w:space="0" w:color="auto"/>
            <w:left w:val="none" w:sz="0" w:space="0" w:color="auto"/>
            <w:bottom w:val="none" w:sz="0" w:space="0" w:color="auto"/>
            <w:right w:val="none" w:sz="0" w:space="0" w:color="auto"/>
          </w:divBdr>
        </w:div>
        <w:div w:id="1332639302">
          <w:marLeft w:val="0"/>
          <w:marRight w:val="0"/>
          <w:marTop w:val="0"/>
          <w:marBottom w:val="0"/>
          <w:divBdr>
            <w:top w:val="none" w:sz="0" w:space="0" w:color="auto"/>
            <w:left w:val="none" w:sz="0" w:space="0" w:color="auto"/>
            <w:bottom w:val="none" w:sz="0" w:space="0" w:color="auto"/>
            <w:right w:val="none" w:sz="0" w:space="0" w:color="auto"/>
          </w:divBdr>
        </w:div>
        <w:div w:id="414669358">
          <w:marLeft w:val="0"/>
          <w:marRight w:val="0"/>
          <w:marTop w:val="0"/>
          <w:marBottom w:val="0"/>
          <w:divBdr>
            <w:top w:val="none" w:sz="0" w:space="0" w:color="auto"/>
            <w:left w:val="none" w:sz="0" w:space="0" w:color="auto"/>
            <w:bottom w:val="none" w:sz="0" w:space="0" w:color="auto"/>
            <w:right w:val="none" w:sz="0" w:space="0" w:color="auto"/>
          </w:divBdr>
        </w:div>
        <w:div w:id="700516425">
          <w:marLeft w:val="0"/>
          <w:marRight w:val="0"/>
          <w:marTop w:val="0"/>
          <w:marBottom w:val="0"/>
          <w:divBdr>
            <w:top w:val="none" w:sz="0" w:space="0" w:color="auto"/>
            <w:left w:val="none" w:sz="0" w:space="0" w:color="auto"/>
            <w:bottom w:val="none" w:sz="0" w:space="0" w:color="auto"/>
            <w:right w:val="none" w:sz="0" w:space="0" w:color="auto"/>
          </w:divBdr>
        </w:div>
        <w:div w:id="1786391458">
          <w:marLeft w:val="0"/>
          <w:marRight w:val="0"/>
          <w:marTop w:val="0"/>
          <w:marBottom w:val="0"/>
          <w:divBdr>
            <w:top w:val="none" w:sz="0" w:space="0" w:color="auto"/>
            <w:left w:val="none" w:sz="0" w:space="0" w:color="auto"/>
            <w:bottom w:val="none" w:sz="0" w:space="0" w:color="auto"/>
            <w:right w:val="none" w:sz="0" w:space="0" w:color="auto"/>
          </w:divBdr>
        </w:div>
        <w:div w:id="1804689082">
          <w:marLeft w:val="0"/>
          <w:marRight w:val="0"/>
          <w:marTop w:val="0"/>
          <w:marBottom w:val="0"/>
          <w:divBdr>
            <w:top w:val="none" w:sz="0" w:space="0" w:color="auto"/>
            <w:left w:val="none" w:sz="0" w:space="0" w:color="auto"/>
            <w:bottom w:val="none" w:sz="0" w:space="0" w:color="auto"/>
            <w:right w:val="none" w:sz="0" w:space="0" w:color="auto"/>
          </w:divBdr>
        </w:div>
      </w:divsChild>
    </w:div>
    <w:div w:id="102139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4E133-8F5A-427A-A131-667A9EAE0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1920</Words>
  <Characters>10565</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Luc Mathot</cp:lastModifiedBy>
  <cp:revision>3</cp:revision>
  <dcterms:created xsi:type="dcterms:W3CDTF">2020-09-07T10:05:00Z</dcterms:created>
  <dcterms:modified xsi:type="dcterms:W3CDTF">2020-09-07T10:07:00Z</dcterms:modified>
</cp:coreProperties>
</file>