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A036EB"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0B7079" w:rsidP="000B7079">
      <w:pPr>
        <w:pStyle w:val="En-tte"/>
        <w:tabs>
          <w:tab w:val="left" w:pos="708"/>
        </w:tabs>
        <w:jc w:val="center"/>
        <w:rPr>
          <w:rStyle w:val="Accentuation"/>
          <w:rFonts w:ascii="Bookman Old Style" w:hAnsi="Bookman Old Style"/>
          <w:i w:val="0"/>
          <w:sz w:val="22"/>
          <w:szCs w:val="22"/>
        </w:rPr>
      </w:pPr>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26" w:history="1">
        <w:r w:rsidR="000B7079" w:rsidRPr="00E27DD6">
          <w:rPr>
            <w:rStyle w:val="Accentuation"/>
            <w:rFonts w:ascii="Bookman Old Style" w:hAnsi="Bookman Old Style"/>
            <w:sz w:val="22"/>
            <w:szCs w:val="22"/>
          </w:rPr>
          <w:t>1</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Points principaux</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27" w:history="1">
        <w:r w:rsidR="000B7079" w:rsidRPr="00E27DD6">
          <w:rPr>
            <w:rStyle w:val="Accentuation"/>
            <w:rFonts w:ascii="Bookman Old Style" w:hAnsi="Bookman Old Style"/>
            <w:sz w:val="22"/>
            <w:szCs w:val="22"/>
          </w:rPr>
          <w:t>2</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Investigations</w:t>
        </w:r>
        <w:r w:rsidR="000B7079" w:rsidRPr="00E27DD6">
          <w:rPr>
            <w:rStyle w:val="Accentuation"/>
            <w:rFonts w:ascii="Bookman Old Style" w:hAnsi="Bookman Old Style"/>
            <w:webHidden/>
            <w:sz w:val="22"/>
            <w:szCs w:val="22"/>
          </w:rPr>
          <w:tab/>
        </w:r>
        <w:r w:rsidR="00A42EB5" w:rsidRPr="00E27DD6">
          <w:rPr>
            <w:rStyle w:val="Accentuation"/>
            <w:rFonts w:ascii="Bookman Old Style" w:hAnsi="Bookman Old Style"/>
            <w:webHidden/>
            <w:sz w:val="22"/>
            <w:szCs w:val="22"/>
          </w:rPr>
          <w:t>2</w:t>
        </w:r>
      </w:hyperlink>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28" w:history="1">
        <w:r w:rsidR="000B7079" w:rsidRPr="00E27DD6">
          <w:rPr>
            <w:rStyle w:val="Accentuation"/>
            <w:rFonts w:ascii="Bookman Old Style" w:hAnsi="Bookman Old Style"/>
            <w:sz w:val="22"/>
            <w:szCs w:val="22"/>
          </w:rPr>
          <w:t>3</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Opérations</w:t>
        </w:r>
        <w:r w:rsidR="000B7079" w:rsidRPr="00E27DD6">
          <w:rPr>
            <w:rStyle w:val="Accentuation"/>
            <w:rFonts w:ascii="Bookman Old Style" w:hAnsi="Bookman Old Style"/>
            <w:webHidden/>
            <w:sz w:val="22"/>
            <w:szCs w:val="22"/>
          </w:rPr>
          <w:tab/>
        </w:r>
      </w:hyperlink>
      <w:r w:rsidR="00A42EB5" w:rsidRPr="00E27DD6">
        <w:t>2</w:t>
      </w:r>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29" w:history="1">
        <w:r w:rsidR="000B7079" w:rsidRPr="00E27DD6">
          <w:rPr>
            <w:rStyle w:val="Accentuation"/>
            <w:rFonts w:ascii="Bookman Old Style" w:hAnsi="Bookman Old Style"/>
            <w:sz w:val="22"/>
            <w:szCs w:val="22"/>
          </w:rPr>
          <w:t>4</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Département juridique</w:t>
        </w:r>
        <w:r w:rsidR="000B7079" w:rsidRPr="00E27DD6">
          <w:rPr>
            <w:rStyle w:val="Accentuation"/>
            <w:rFonts w:ascii="Bookman Old Style" w:hAnsi="Bookman Old Style"/>
            <w:webHidden/>
            <w:sz w:val="22"/>
            <w:szCs w:val="22"/>
          </w:rPr>
          <w:tab/>
        </w:r>
        <w:r w:rsidR="000E56C6">
          <w:rPr>
            <w:rStyle w:val="Accentuation"/>
            <w:rFonts w:ascii="Bookman Old Style" w:hAnsi="Bookman Old Style"/>
            <w:webHidden/>
            <w:sz w:val="22"/>
            <w:szCs w:val="22"/>
          </w:rPr>
          <w:t>2-</w:t>
        </w:r>
        <w:r w:rsidR="009A470C">
          <w:rPr>
            <w:rStyle w:val="Accentuation"/>
            <w:rFonts w:ascii="Bookman Old Style" w:hAnsi="Bookman Old Style"/>
            <w:webHidden/>
            <w:sz w:val="22"/>
            <w:szCs w:val="22"/>
          </w:rPr>
          <w:t>4</w:t>
        </w:r>
      </w:hyperlink>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30" w:history="1">
        <w:r w:rsidR="000B7079" w:rsidRPr="00E27DD6">
          <w:rPr>
            <w:rStyle w:val="Accentuation"/>
            <w:rFonts w:ascii="Bookman Old Style" w:hAnsi="Bookman Old Style"/>
            <w:sz w:val="22"/>
            <w:szCs w:val="22"/>
          </w:rPr>
          <w:t>5</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Communication</w:t>
        </w:r>
        <w:r w:rsidR="000B7079" w:rsidRPr="00E27DD6">
          <w:rPr>
            <w:rStyle w:val="Accentuation"/>
            <w:rFonts w:ascii="Bookman Old Style" w:hAnsi="Bookman Old Style"/>
            <w:webHidden/>
            <w:sz w:val="22"/>
            <w:szCs w:val="22"/>
          </w:rPr>
          <w:tab/>
        </w:r>
      </w:hyperlink>
      <w:r w:rsidR="009A470C">
        <w:rPr>
          <w:rFonts w:ascii="Bookman Old Style" w:hAnsi="Bookman Old Style"/>
          <w:sz w:val="22"/>
          <w:szCs w:val="22"/>
        </w:rPr>
        <w:t>4-5</w:t>
      </w:r>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31" w:history="1">
        <w:r w:rsidR="000B7079" w:rsidRPr="00E27DD6">
          <w:rPr>
            <w:rStyle w:val="Accentuation"/>
            <w:rFonts w:ascii="Bookman Old Style" w:hAnsi="Bookman Old Style"/>
            <w:sz w:val="22"/>
            <w:szCs w:val="22"/>
          </w:rPr>
          <w:t>6</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Relations extérieures</w:t>
        </w:r>
        <w:r w:rsidR="000B7079" w:rsidRPr="00E27DD6">
          <w:rPr>
            <w:rStyle w:val="Accentuation"/>
            <w:rFonts w:ascii="Bookman Old Style" w:hAnsi="Bookman Old Style"/>
            <w:webHidden/>
            <w:sz w:val="22"/>
            <w:szCs w:val="22"/>
          </w:rPr>
          <w:tab/>
        </w:r>
      </w:hyperlink>
      <w:r w:rsidR="009A470C">
        <w:t>5</w:t>
      </w:r>
    </w:p>
    <w:p w:rsidR="000B7079" w:rsidRPr="00E27DD6" w:rsidRDefault="00C156AF" w:rsidP="000B7079">
      <w:pPr>
        <w:pStyle w:val="TM1"/>
        <w:rPr>
          <w:rStyle w:val="Accentuation"/>
          <w:rFonts w:ascii="Bookman Old Style" w:eastAsiaTheme="minorEastAsia" w:hAnsi="Bookman Old Style"/>
          <w:i w:val="0"/>
          <w:sz w:val="22"/>
          <w:szCs w:val="22"/>
        </w:rPr>
      </w:pPr>
      <w:hyperlink w:anchor="_Toc7774932" w:history="1">
        <w:r w:rsidR="000B7079" w:rsidRPr="00E27DD6">
          <w:rPr>
            <w:rStyle w:val="Accentuation"/>
            <w:rFonts w:ascii="Bookman Old Style" w:hAnsi="Bookman Old Style"/>
            <w:sz w:val="22"/>
            <w:szCs w:val="22"/>
          </w:rPr>
          <w:t>7</w:t>
        </w:r>
        <w:r w:rsidR="000B7079" w:rsidRPr="00E27DD6">
          <w:rPr>
            <w:rStyle w:val="Accentuation"/>
            <w:rFonts w:ascii="Bookman Old Style" w:eastAsiaTheme="minorEastAsia" w:hAnsi="Bookman Old Style"/>
            <w:sz w:val="22"/>
            <w:szCs w:val="22"/>
          </w:rPr>
          <w:tab/>
        </w:r>
        <w:r w:rsidR="000B7079" w:rsidRPr="00E27DD6">
          <w:rPr>
            <w:rStyle w:val="Accentuation"/>
            <w:rFonts w:ascii="Bookman Old Style" w:hAnsi="Bookman Old Style"/>
            <w:sz w:val="22"/>
            <w:szCs w:val="22"/>
          </w:rPr>
          <w:t>Conclusion</w:t>
        </w:r>
        <w:r w:rsidR="000B7079" w:rsidRPr="00E27DD6">
          <w:rPr>
            <w:rStyle w:val="Accentuation"/>
            <w:rFonts w:ascii="Bookman Old Style" w:hAnsi="Bookman Old Style"/>
            <w:webHidden/>
            <w:sz w:val="22"/>
            <w:szCs w:val="22"/>
          </w:rPr>
          <w:tab/>
        </w:r>
        <w:r w:rsidR="009A470C">
          <w:rPr>
            <w:rStyle w:val="Accentuation"/>
            <w:rFonts w:ascii="Bookman Old Style" w:hAnsi="Bookman Old Style"/>
            <w:webHidden/>
            <w:sz w:val="22"/>
            <w:szCs w:val="22"/>
          </w:rPr>
          <w:t>6</w:t>
        </w:r>
      </w:hyperlink>
    </w:p>
    <w:p w:rsidR="00733E47" w:rsidRPr="00E27DD6" w:rsidRDefault="00733E47" w:rsidP="00733E47">
      <w:pPr>
        <w:tabs>
          <w:tab w:val="right" w:leader="dot" w:pos="9062"/>
        </w:tabs>
        <w:jc w:val="center"/>
        <w:rPr>
          <w:rStyle w:val="Accentuation"/>
          <w:rFonts w:ascii="Bookman Old Style" w:hAnsi="Bookman Old Style"/>
          <w:i w:val="0"/>
          <w:sz w:val="22"/>
          <w:szCs w:val="22"/>
        </w:rPr>
      </w:pPr>
    </w:p>
    <w:p w:rsidR="00C0158B" w:rsidRPr="00E27DD6" w:rsidRDefault="00C0158B" w:rsidP="00733E47">
      <w:pPr>
        <w:tabs>
          <w:tab w:val="right" w:leader="dot" w:pos="9062"/>
        </w:tabs>
        <w:jc w:val="center"/>
        <w:rPr>
          <w:rStyle w:val="Accentuation"/>
          <w:rFonts w:ascii="Bookman Old Style" w:hAnsi="Bookman Old Style"/>
          <w:i w:val="0"/>
          <w:sz w:val="22"/>
          <w:szCs w:val="22"/>
        </w:rPr>
      </w:pPr>
    </w:p>
    <w:p w:rsidR="000B7079" w:rsidRPr="00E27DD6" w:rsidRDefault="000B7079" w:rsidP="000B7079">
      <w:pPr>
        <w:tabs>
          <w:tab w:val="right" w:leader="dot" w:pos="9062"/>
        </w:tabs>
        <w:jc w:val="center"/>
        <w:rPr>
          <w:rStyle w:val="Accentuation"/>
          <w:rFonts w:ascii="Bookman Old Style" w:hAnsi="Bookman Old Style"/>
          <w:i w:val="0"/>
          <w:sz w:val="22"/>
          <w:szCs w:val="22"/>
        </w:rPr>
      </w:pPr>
    </w:p>
    <w:p w:rsidR="00733E47" w:rsidRPr="00E27DD6" w:rsidRDefault="00733E47" w:rsidP="00733E47">
      <w:pPr>
        <w:jc w:val="center"/>
        <w:rPr>
          <w:b/>
          <w:sz w:val="22"/>
          <w:szCs w:val="22"/>
        </w:rPr>
      </w:pPr>
      <w:r w:rsidRPr="00E27DD6">
        <w:rPr>
          <w:b/>
          <w:sz w:val="22"/>
          <w:szCs w:val="22"/>
        </w:rPr>
        <w:t xml:space="preserve">Rapport Mensuel </w:t>
      </w:r>
      <w:r w:rsidR="00DC03BE">
        <w:rPr>
          <w:b/>
          <w:sz w:val="22"/>
          <w:szCs w:val="22"/>
        </w:rPr>
        <w:t>juin</w:t>
      </w:r>
      <w:r w:rsidR="00723854" w:rsidRPr="00E27DD6">
        <w:rPr>
          <w:b/>
          <w:sz w:val="22"/>
          <w:szCs w:val="22"/>
        </w:rPr>
        <w:t xml:space="preserve"> </w:t>
      </w:r>
      <w:r w:rsidRPr="00E27DD6">
        <w:rPr>
          <w:b/>
          <w:sz w:val="22"/>
          <w:szCs w:val="22"/>
        </w:rPr>
        <w:t>20</w:t>
      </w:r>
      <w:r w:rsidR="00A57371" w:rsidRPr="00E27DD6">
        <w:rPr>
          <w:b/>
          <w:sz w:val="22"/>
          <w:szCs w:val="22"/>
        </w:rPr>
        <w:t>20</w:t>
      </w:r>
    </w:p>
    <w:p w:rsidR="00733E47" w:rsidRPr="00E27DD6" w:rsidRDefault="00733E47" w:rsidP="00733E47">
      <w:pPr>
        <w:jc w:val="center"/>
        <w:rPr>
          <w:b/>
          <w:sz w:val="22"/>
          <w:szCs w:val="22"/>
        </w:rPr>
      </w:pPr>
    </w:p>
    <w:p w:rsidR="00733E47" w:rsidRPr="00E27DD6" w:rsidRDefault="00733E47" w:rsidP="00733E47">
      <w:pPr>
        <w:jc w:val="center"/>
        <w:rPr>
          <w:sz w:val="22"/>
          <w:szCs w:val="22"/>
        </w:rPr>
      </w:pPr>
      <w:r w:rsidRPr="00E27DD6">
        <w:rPr>
          <w:sz w:val="22"/>
          <w:szCs w:val="22"/>
        </w:rPr>
        <w:t>Conservation Justice</w:t>
      </w:r>
    </w:p>
    <w:p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rsidR="000B7079" w:rsidRPr="00E27DD6" w:rsidRDefault="000B7079" w:rsidP="000B7079">
      <w:pPr>
        <w:rPr>
          <w:rStyle w:val="Accentuation"/>
          <w:rFonts w:ascii="Bookman Old Style" w:hAnsi="Bookman Old Style"/>
          <w:i w:val="0"/>
        </w:rPr>
      </w:pPr>
    </w:p>
    <w:p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rsidR="00B16408" w:rsidRPr="00E27DD6" w:rsidRDefault="00B16408" w:rsidP="00213BF3">
      <w:pPr>
        <w:jc w:val="both"/>
        <w:rPr>
          <w:rFonts w:asciiTheme="minorHAnsi" w:hAnsiTheme="minorHAnsi" w:cstheme="minorHAnsi"/>
        </w:rPr>
      </w:pPr>
    </w:p>
    <w:p w:rsidR="00DC03BE" w:rsidRPr="00683CFB" w:rsidRDefault="00DC03BE" w:rsidP="00DC03BE">
      <w:pPr>
        <w:jc w:val="both"/>
      </w:pPr>
      <w:r w:rsidRPr="00683CFB">
        <w:t>Le confinement actuel ne nous a pas permis d’organiser les missions</w:t>
      </w:r>
      <w:r>
        <w:t xml:space="preserve"> </w:t>
      </w:r>
      <w:r w:rsidRPr="00683CFB">
        <w:t xml:space="preserve">à l’intérieur du pays pour l’identification et l’arrestation de trafiquants d’ivoire ainsi que le maintien de la collaboration avec les services déconcentrés des Eaux et Forêts et de la Police Nationale. Au total, </w:t>
      </w:r>
      <w:r w:rsidRPr="00683CFB">
        <w:rPr>
          <w:b/>
        </w:rPr>
        <w:t>29</w:t>
      </w:r>
      <w:r w:rsidRPr="00683CFB">
        <w:t xml:space="preserve"> missions d’investigations ont été organisées à travers la province de l’Estuaire avec </w:t>
      </w:r>
      <w:r w:rsidRPr="00683CFB">
        <w:rPr>
          <w:b/>
        </w:rPr>
        <w:t>38</w:t>
      </w:r>
      <w:r w:rsidRPr="00683CFB">
        <w:t xml:space="preserve"> trafiquants et braconniers majeurs identifiés.</w:t>
      </w:r>
    </w:p>
    <w:p w:rsidR="003F2268" w:rsidRDefault="003F2268" w:rsidP="00723854">
      <w:pPr>
        <w:jc w:val="both"/>
        <w:rPr>
          <w:rFonts w:asciiTheme="minorHAnsi" w:hAnsiTheme="minorHAnsi" w:cstheme="minorHAnsi"/>
        </w:rPr>
      </w:pPr>
    </w:p>
    <w:p w:rsidR="00DC03BE" w:rsidRPr="00DC03BE" w:rsidRDefault="00DC03BE" w:rsidP="00DC03BE">
      <w:pPr>
        <w:jc w:val="both"/>
        <w:rPr>
          <w:color w:val="222222"/>
          <w:lang w:eastAsia="fr-FR"/>
        </w:rPr>
      </w:pPr>
      <w:r w:rsidRPr="00DC03BE">
        <w:rPr>
          <w:b/>
          <w:color w:val="222222"/>
          <w:u w:val="single"/>
          <w:lang w:eastAsia="fr-FR"/>
        </w:rPr>
        <w:t>Les 16, 19 et 26 juin 2020</w:t>
      </w:r>
      <w:r w:rsidRPr="00DC03BE">
        <w:rPr>
          <w:color w:val="222222"/>
          <w:lang w:eastAsia="fr-FR"/>
        </w:rPr>
        <w:t xml:space="preserve"> </w:t>
      </w:r>
      <w:r w:rsidR="0005616F">
        <w:rPr>
          <w:color w:val="222222"/>
          <w:lang w:eastAsia="fr-FR"/>
        </w:rPr>
        <w:t xml:space="preserve">à Libreville (Province de l’Estuaire), </w:t>
      </w:r>
      <w:r w:rsidRPr="00DC03BE">
        <w:rPr>
          <w:color w:val="222222"/>
          <w:lang w:eastAsia="fr-FR"/>
        </w:rPr>
        <w:t xml:space="preserve">il y a eu des audiences de plaidoirie et de délibéré des affaires MP &amp; MEF C/ MAPILA Grégoire et MAZOU Frédéric ; MP &amp; MEF C/ Sany MOHAMED, MP C/ ENGONE Jean et ETOUGHE </w:t>
      </w:r>
      <w:r w:rsidR="00E0461D" w:rsidRPr="00DC03BE">
        <w:rPr>
          <w:color w:val="222222"/>
          <w:lang w:eastAsia="fr-FR"/>
        </w:rPr>
        <w:t>Fulbert</w:t>
      </w:r>
      <w:r w:rsidRPr="00DC03BE">
        <w:rPr>
          <w:color w:val="222222"/>
          <w:lang w:eastAsia="fr-FR"/>
        </w:rPr>
        <w:t xml:space="preserve"> ; MP &amp; MEF C/ Sylla DEMBA ; MP &amp; MEF C/ MOUKAMBI MOUBEYI François, BACKO MOHAMED et PILAM Jean-Marie ; MP &amp; MEF C/ GUIAMOUSSANGOU Ignace et LEMI Judicaël et </w:t>
      </w:r>
      <w:r w:rsidRPr="00DC03BE">
        <w:rPr>
          <w:color w:val="000000"/>
          <w:lang w:eastAsia="fr-FR"/>
        </w:rPr>
        <w:t xml:space="preserve">MP &amp; MEF C/ </w:t>
      </w:r>
      <w:r w:rsidRPr="00DC03BE">
        <w:rPr>
          <w:color w:val="222222"/>
          <w:lang w:eastAsia="fr-FR"/>
        </w:rPr>
        <w:t>HUAN RENREN et ZHOU SHENGION</w:t>
      </w:r>
    </w:p>
    <w:p w:rsidR="00DC03BE" w:rsidRDefault="00DC03BE" w:rsidP="00723854">
      <w:pPr>
        <w:jc w:val="both"/>
        <w:rPr>
          <w:rFonts w:asciiTheme="minorHAnsi" w:hAnsiTheme="minorHAnsi" w:cstheme="minorHAnsi"/>
        </w:rPr>
      </w:pPr>
    </w:p>
    <w:p w:rsidR="0002017E" w:rsidRPr="0002017E" w:rsidRDefault="00DC03BE" w:rsidP="00DC03BE">
      <w:pPr>
        <w:jc w:val="both"/>
        <w:rPr>
          <w:color w:val="222222"/>
          <w:lang w:eastAsia="fr-FR"/>
        </w:rPr>
      </w:pPr>
      <w:r w:rsidRPr="00DC03BE">
        <w:rPr>
          <w:b/>
          <w:color w:val="222222"/>
          <w:u w:val="single"/>
          <w:lang w:eastAsia="fr-FR"/>
        </w:rPr>
        <w:t>Le 29 juin 2020</w:t>
      </w:r>
      <w:r w:rsidRPr="00DC03BE">
        <w:rPr>
          <w:color w:val="222222"/>
          <w:lang w:eastAsia="fr-FR"/>
        </w:rPr>
        <w:t xml:space="preserve">, </w:t>
      </w:r>
      <w:r w:rsidR="0002017E">
        <w:rPr>
          <w:color w:val="222222"/>
          <w:lang w:eastAsia="fr-FR"/>
        </w:rPr>
        <w:t xml:space="preserve">à Libreville, Le Coordonnateur des activités et les juristes se sont </w:t>
      </w:r>
      <w:r w:rsidRPr="00DC03BE">
        <w:rPr>
          <w:color w:val="222222"/>
          <w:lang w:eastAsia="fr-FR"/>
        </w:rPr>
        <w:t>entre</w:t>
      </w:r>
      <w:r w:rsidR="0002017E">
        <w:rPr>
          <w:color w:val="222222"/>
          <w:lang w:eastAsia="fr-FR"/>
        </w:rPr>
        <w:t>tenus</w:t>
      </w:r>
      <w:r w:rsidRPr="00DC03BE">
        <w:rPr>
          <w:color w:val="222222"/>
          <w:lang w:eastAsia="fr-FR"/>
        </w:rPr>
        <w:t xml:space="preserve"> avec le Directeur Général de la Faune et des Aires Protégées sur le projet de </w:t>
      </w:r>
      <w:r w:rsidR="0002017E">
        <w:rPr>
          <w:color w:val="222222"/>
          <w:lang w:eastAsia="fr-FR"/>
        </w:rPr>
        <w:t>mission sur L</w:t>
      </w:r>
      <w:r w:rsidRPr="00DC03BE">
        <w:rPr>
          <w:color w:val="222222"/>
          <w:lang w:eastAsia="fr-FR"/>
        </w:rPr>
        <w:t xml:space="preserve">astourville aux fins de lancer officiellement les activités de la nouvelle brigade </w:t>
      </w:r>
      <w:r w:rsidR="0002017E" w:rsidRPr="009E7E0C">
        <w:rPr>
          <w:rFonts w:cstheme="minorHAnsi"/>
        </w:rPr>
        <w:t xml:space="preserve">de l’Unité de Lutte Anti-Braconnage </w:t>
      </w:r>
      <w:r w:rsidR="0002017E">
        <w:rPr>
          <w:rFonts w:cstheme="minorHAnsi"/>
        </w:rPr>
        <w:t xml:space="preserve">proche </w:t>
      </w:r>
      <w:r w:rsidR="0002017E" w:rsidRPr="009E7E0C">
        <w:rPr>
          <w:rFonts w:cstheme="minorHAnsi"/>
        </w:rPr>
        <w:t>de la Société Precious Woods-CEB</w:t>
      </w:r>
      <w:r w:rsidRPr="00DC03BE">
        <w:rPr>
          <w:color w:val="222222"/>
          <w:lang w:eastAsia="fr-FR"/>
        </w:rPr>
        <w:t>.</w:t>
      </w:r>
    </w:p>
    <w:p w:rsidR="00B16408" w:rsidRPr="00E27DD6" w:rsidRDefault="00B16408" w:rsidP="000479FD">
      <w:pPr>
        <w:jc w:val="both"/>
        <w:rPr>
          <w:rStyle w:val="Accentuation"/>
          <w:rFonts w:asciiTheme="minorHAnsi" w:hAnsiTheme="minorHAnsi" w:cstheme="minorHAnsi"/>
          <w:i w:val="0"/>
          <w:iCs w:val="0"/>
          <w:lang w:val="fr-BE"/>
        </w:rPr>
      </w:pPr>
    </w:p>
    <w:p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2" w:name="_Toc7774927"/>
      <w:r w:rsidRPr="00E27DD6">
        <w:rPr>
          <w:rStyle w:val="Accentuation"/>
          <w:rFonts w:asciiTheme="minorHAnsi" w:hAnsiTheme="minorHAnsi" w:cstheme="minorHAnsi"/>
          <w:sz w:val="24"/>
        </w:rPr>
        <w:t>Investigations</w:t>
      </w:r>
      <w:bookmarkEnd w:id="2"/>
    </w:p>
    <w:p w:rsidR="000B7079" w:rsidRPr="00E27DD6" w:rsidRDefault="000B7079" w:rsidP="000B7079">
      <w:pPr>
        <w:jc w:val="both"/>
        <w:rPr>
          <w:rStyle w:val="Accentuation"/>
          <w:rFonts w:asciiTheme="minorHAnsi" w:hAnsiTheme="minorHAnsi" w:cstheme="minorHAnsi"/>
          <w:i w:val="0"/>
        </w:rPr>
      </w:pPr>
    </w:p>
    <w:p w:rsidR="000B7079" w:rsidRPr="00E27DD6" w:rsidRDefault="000B7079" w:rsidP="000B7079">
      <w:pPr>
        <w:spacing w:after="240"/>
        <w:jc w:val="both"/>
        <w:rPr>
          <w:rStyle w:val="Accentuation"/>
          <w:rFonts w:asciiTheme="minorHAnsi" w:hAnsiTheme="minorHAnsi" w:cstheme="minorHAnsi"/>
          <w:i w:val="0"/>
        </w:rPr>
      </w:pPr>
      <w:r w:rsidRPr="00E27DD6">
        <w:rPr>
          <w:rStyle w:val="Accentuation"/>
          <w:rFonts w:asciiTheme="minorHAnsi" w:hAnsiTheme="minorHAnsi" w:cstheme="minorHAnsi"/>
        </w:rPr>
        <w:t>Indicateur:</w:t>
      </w:r>
    </w:p>
    <w:tbl>
      <w:tblPr>
        <w:tblStyle w:val="Grilledetableauclaire1"/>
        <w:tblW w:w="0" w:type="auto"/>
        <w:jc w:val="center"/>
        <w:tblLook w:val="04A0"/>
      </w:tblPr>
      <w:tblGrid>
        <w:gridCol w:w="4520"/>
        <w:gridCol w:w="4235"/>
      </w:tblGrid>
      <w:tr w:rsidR="000B7079" w:rsidRPr="00E27DD6" w:rsidTr="000F4C8D">
        <w:trPr>
          <w:jc w:val="center"/>
        </w:trPr>
        <w:tc>
          <w:tcPr>
            <w:tcW w:w="4520"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d’investigations menées</w:t>
            </w:r>
          </w:p>
        </w:tc>
        <w:tc>
          <w:tcPr>
            <w:tcW w:w="4235" w:type="dxa"/>
          </w:tcPr>
          <w:p w:rsidR="000B7079" w:rsidRPr="00E27DD6" w:rsidRDefault="00723854"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2</w:t>
            </w:r>
            <w:r w:rsidR="000D1D3A">
              <w:rPr>
                <w:rStyle w:val="Accentuation"/>
                <w:rFonts w:asciiTheme="minorHAnsi" w:hAnsiTheme="minorHAnsi" w:cstheme="minorHAnsi"/>
              </w:rPr>
              <w:t>9</w:t>
            </w:r>
          </w:p>
        </w:tc>
      </w:tr>
      <w:tr w:rsidR="000B7079" w:rsidRPr="00E27DD6" w:rsidTr="000F4C8D">
        <w:trPr>
          <w:jc w:val="center"/>
        </w:trPr>
        <w:tc>
          <w:tcPr>
            <w:tcW w:w="4520"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Investigations ayant mené à une opération</w:t>
            </w:r>
          </w:p>
        </w:tc>
        <w:tc>
          <w:tcPr>
            <w:tcW w:w="4235" w:type="dxa"/>
          </w:tcPr>
          <w:p w:rsidR="000B7079" w:rsidRPr="00E27DD6" w:rsidRDefault="00A57371" w:rsidP="000E426B">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r w:rsidR="000B7079" w:rsidRPr="00E27DD6" w:rsidTr="000F4C8D">
        <w:trPr>
          <w:jc w:val="center"/>
        </w:trPr>
        <w:tc>
          <w:tcPr>
            <w:tcW w:w="4520"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trafiquants identifiés</w:t>
            </w:r>
          </w:p>
        </w:tc>
        <w:tc>
          <w:tcPr>
            <w:tcW w:w="4235" w:type="dxa"/>
          </w:tcPr>
          <w:p w:rsidR="000B7079" w:rsidRPr="00E27DD6" w:rsidRDefault="00723854"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3</w:t>
            </w:r>
            <w:r w:rsidR="000D1D3A">
              <w:rPr>
                <w:rStyle w:val="Accentuation"/>
                <w:rFonts w:asciiTheme="minorHAnsi" w:hAnsiTheme="minorHAnsi" w:cstheme="minorHAnsi"/>
              </w:rPr>
              <w:t>8</w:t>
            </w:r>
          </w:p>
        </w:tc>
      </w:tr>
    </w:tbl>
    <w:p w:rsidR="001D4336" w:rsidRPr="00E27DD6" w:rsidRDefault="001D4336" w:rsidP="001D4336">
      <w:pPr>
        <w:tabs>
          <w:tab w:val="left" w:pos="5590"/>
        </w:tabs>
        <w:jc w:val="both"/>
        <w:rPr>
          <w:rFonts w:asciiTheme="minorHAnsi" w:hAnsiTheme="minorHAnsi" w:cstheme="minorHAnsi"/>
          <w:iCs/>
          <w:color w:val="FF0000"/>
        </w:rPr>
      </w:pPr>
      <w:bookmarkStart w:id="3" w:name="_Toc7774928"/>
    </w:p>
    <w:p w:rsidR="00F25AE1" w:rsidRPr="00E27DD6" w:rsidRDefault="000E426B" w:rsidP="00723854">
      <w:pPr>
        <w:jc w:val="both"/>
        <w:rPr>
          <w:rFonts w:asciiTheme="minorHAnsi" w:hAnsiTheme="minorHAnsi" w:cstheme="minorHAnsi"/>
        </w:rPr>
      </w:pPr>
      <w:r w:rsidRPr="00E27DD6">
        <w:rPr>
          <w:rFonts w:asciiTheme="minorHAnsi" w:hAnsiTheme="minorHAnsi" w:cstheme="minorHAnsi"/>
        </w:rPr>
        <w:t xml:space="preserve">Compte tenu de ce contexte particulier lié </w:t>
      </w:r>
      <w:r w:rsidR="00723854" w:rsidRPr="00E27DD6">
        <w:rPr>
          <w:rFonts w:asciiTheme="minorHAnsi" w:hAnsiTheme="minorHAnsi" w:cstheme="minorHAnsi"/>
        </w:rPr>
        <w:t>à la pandémie du Coronavirus</w:t>
      </w:r>
      <w:r w:rsidRPr="00E27DD6">
        <w:rPr>
          <w:rFonts w:asciiTheme="minorHAnsi" w:hAnsiTheme="minorHAnsi" w:cstheme="minorHAnsi"/>
        </w:rPr>
        <w:t xml:space="preserve">, </w:t>
      </w:r>
      <w:r w:rsidR="00723854" w:rsidRPr="00E27DD6">
        <w:rPr>
          <w:rFonts w:asciiTheme="minorHAnsi" w:hAnsiTheme="minorHAnsi" w:cstheme="minorHAnsi"/>
        </w:rPr>
        <w:t>les investigations n’ont été réalisées que dans le grand Libreville où les enquêteurs ont procédé aux renforcements du trust building avec les anciennes cibles afin de maintenir</w:t>
      </w:r>
      <w:r w:rsidR="00067DFF">
        <w:rPr>
          <w:rFonts w:asciiTheme="minorHAnsi" w:hAnsiTheme="minorHAnsi" w:cstheme="minorHAnsi"/>
        </w:rPr>
        <w:t xml:space="preserve"> le contact. Au total, 29</w:t>
      </w:r>
      <w:r w:rsidR="00723854" w:rsidRPr="00E27DD6">
        <w:rPr>
          <w:rFonts w:asciiTheme="minorHAnsi" w:hAnsiTheme="minorHAnsi" w:cstheme="minorHAnsi"/>
        </w:rPr>
        <w:t xml:space="preserve"> missions d’investiga</w:t>
      </w:r>
      <w:r w:rsidR="00067DFF">
        <w:rPr>
          <w:rFonts w:asciiTheme="minorHAnsi" w:hAnsiTheme="minorHAnsi" w:cstheme="minorHAnsi"/>
        </w:rPr>
        <w:t>tions ont été organisées avec 38</w:t>
      </w:r>
      <w:r w:rsidR="00723854" w:rsidRPr="00E27DD6">
        <w:rPr>
          <w:rFonts w:asciiTheme="minorHAnsi" w:hAnsiTheme="minorHAnsi" w:cstheme="minorHAnsi"/>
        </w:rPr>
        <w:t xml:space="preserve"> trafiquants et braconniers majeurs identifiés.</w:t>
      </w:r>
    </w:p>
    <w:p w:rsidR="00723854" w:rsidRPr="00E27DD6" w:rsidRDefault="00723854" w:rsidP="00723854">
      <w:pPr>
        <w:jc w:val="both"/>
        <w:rPr>
          <w:rFonts w:asciiTheme="minorHAnsi" w:hAnsiTheme="minorHAnsi" w:cstheme="minorHAnsi"/>
          <w:b/>
          <w:color w:val="0070C0"/>
        </w:rPr>
      </w:pPr>
    </w:p>
    <w:p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r w:rsidRPr="00E27DD6">
        <w:rPr>
          <w:rStyle w:val="Accentuation"/>
          <w:rFonts w:asciiTheme="minorHAnsi" w:hAnsiTheme="minorHAnsi" w:cstheme="minorHAnsi"/>
          <w:sz w:val="24"/>
        </w:rPr>
        <w:t>Opérations</w:t>
      </w:r>
      <w:bookmarkEnd w:id="3"/>
    </w:p>
    <w:p w:rsidR="000B7079" w:rsidRPr="00E27DD6" w:rsidRDefault="000B7079" w:rsidP="000B7079">
      <w:pPr>
        <w:jc w:val="both"/>
        <w:rPr>
          <w:rStyle w:val="Accentuation"/>
          <w:rFonts w:asciiTheme="minorHAnsi" w:hAnsiTheme="minorHAnsi" w:cstheme="minorHAnsi"/>
          <w:i w:val="0"/>
          <w:color w:val="FF0000"/>
        </w:rPr>
      </w:pPr>
    </w:p>
    <w:p w:rsidR="000B7079" w:rsidRPr="00E27DD6" w:rsidRDefault="000B7079" w:rsidP="000B7079">
      <w:pPr>
        <w:spacing w:after="240"/>
        <w:jc w:val="both"/>
        <w:rPr>
          <w:rStyle w:val="Accentuation"/>
          <w:rFonts w:asciiTheme="minorHAnsi" w:hAnsiTheme="minorHAnsi" w:cstheme="minorHAnsi"/>
          <w:i w:val="0"/>
        </w:rPr>
      </w:pPr>
      <w:r w:rsidRPr="00E27DD6">
        <w:rPr>
          <w:rStyle w:val="Accentuation"/>
          <w:rFonts w:asciiTheme="minorHAnsi" w:hAnsiTheme="minorHAnsi" w:cstheme="minorHAnsi"/>
        </w:rPr>
        <w:t>Indicateur:</w:t>
      </w:r>
    </w:p>
    <w:tbl>
      <w:tblPr>
        <w:tblStyle w:val="Grilledetableauclaire1"/>
        <w:tblW w:w="8777" w:type="dxa"/>
        <w:jc w:val="center"/>
        <w:tblLook w:val="04A0"/>
      </w:tblPr>
      <w:tblGrid>
        <w:gridCol w:w="4561"/>
        <w:gridCol w:w="4216"/>
      </w:tblGrid>
      <w:tr w:rsidR="000B7079" w:rsidRPr="00E27DD6" w:rsidTr="000F4C8D">
        <w:trPr>
          <w:trHeight w:val="283"/>
          <w:jc w:val="center"/>
        </w:trPr>
        <w:tc>
          <w:tcPr>
            <w:tcW w:w="4561"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d’opérations menées</w:t>
            </w:r>
          </w:p>
        </w:tc>
        <w:tc>
          <w:tcPr>
            <w:tcW w:w="4216" w:type="dxa"/>
          </w:tcPr>
          <w:p w:rsidR="000B7079" w:rsidRPr="00E27DD6" w:rsidRDefault="005D756A" w:rsidP="000F4C8D">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r w:rsidR="000B7079" w:rsidRPr="00E27DD6" w:rsidTr="000F4C8D">
        <w:trPr>
          <w:trHeight w:val="283"/>
          <w:jc w:val="center"/>
        </w:trPr>
        <w:tc>
          <w:tcPr>
            <w:tcW w:w="4561"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trafiquants arrêtés</w:t>
            </w:r>
          </w:p>
        </w:tc>
        <w:tc>
          <w:tcPr>
            <w:tcW w:w="4216" w:type="dxa"/>
          </w:tcPr>
          <w:p w:rsidR="000B7079" w:rsidRPr="00E27DD6" w:rsidRDefault="00CC493E" w:rsidP="00CC493E">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0E426B" w:rsidRPr="00E27DD6">
              <w:rPr>
                <w:rStyle w:val="Accentuation"/>
                <w:rFonts w:asciiTheme="minorHAnsi" w:hAnsiTheme="minorHAnsi" w:cstheme="minorHAnsi"/>
              </w:rPr>
              <w:t>0</w:t>
            </w:r>
          </w:p>
        </w:tc>
      </w:tr>
    </w:tbl>
    <w:p w:rsidR="000E426B" w:rsidRPr="00E27DD6" w:rsidRDefault="00723854" w:rsidP="006D3F9B">
      <w:pPr>
        <w:spacing w:before="240" w:line="276" w:lineRule="auto"/>
        <w:jc w:val="both"/>
        <w:rPr>
          <w:rFonts w:asciiTheme="minorHAnsi" w:hAnsiTheme="minorHAnsi" w:cstheme="minorHAnsi"/>
          <w:i/>
          <w:lang w:val="fr-BE"/>
        </w:rPr>
      </w:pPr>
      <w:r w:rsidRPr="00E27DD6">
        <w:rPr>
          <w:rStyle w:val="Accentuation"/>
          <w:rFonts w:asciiTheme="minorHAnsi" w:hAnsiTheme="minorHAnsi" w:cstheme="minorHAnsi"/>
          <w:i w:val="0"/>
          <w:lang w:val="fr-BE"/>
        </w:rPr>
        <w:t>Le projet  n’a enregistré aucune opération  ce mois.</w:t>
      </w:r>
    </w:p>
    <w:p w:rsidR="000E426B" w:rsidRPr="00E27DD6" w:rsidRDefault="000E426B" w:rsidP="000E426B">
      <w:pPr>
        <w:jc w:val="both"/>
        <w:rPr>
          <w:rFonts w:asciiTheme="minorHAnsi" w:hAnsiTheme="minorHAnsi" w:cstheme="minorHAnsi"/>
        </w:rPr>
      </w:pPr>
    </w:p>
    <w:p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4" w:name="_Toc7774929"/>
      <w:r w:rsidRPr="00E27DD6">
        <w:rPr>
          <w:rStyle w:val="Accentuation"/>
          <w:rFonts w:asciiTheme="minorHAnsi" w:hAnsiTheme="minorHAnsi" w:cstheme="minorHAnsi"/>
          <w:i w:val="0"/>
          <w:sz w:val="24"/>
        </w:rPr>
        <w:t>Département juridique</w:t>
      </w:r>
      <w:bookmarkEnd w:id="4"/>
    </w:p>
    <w:p w:rsidR="00E27DD6" w:rsidRPr="00F2197B" w:rsidRDefault="00B17166" w:rsidP="00A96F53">
      <w:pPr>
        <w:spacing w:before="240" w:after="240"/>
        <w:jc w:val="both"/>
        <w:rPr>
          <w:rStyle w:val="Accentuation"/>
          <w:i w:val="0"/>
          <w:lang w:val="fr-BE"/>
        </w:rPr>
      </w:pPr>
      <w:r w:rsidRPr="00B17166">
        <w:rPr>
          <w:rStyle w:val="Accentuation"/>
          <w:i w:val="0"/>
          <w:lang w:val="fr-BE"/>
        </w:rPr>
        <w:t xml:space="preserve">Outre les rencontres effectuées avec les autorités administratives et judicaires dans le cadre du renforcement et maintien de la collaboration, mais aussi pour le suivi des cas pendant devant les différents tribunaux, les juristes du projet ont suivi </w:t>
      </w:r>
      <w:r w:rsidR="00965C4E">
        <w:rPr>
          <w:rStyle w:val="Accentuation"/>
          <w:i w:val="0"/>
          <w:lang w:val="fr-BE"/>
        </w:rPr>
        <w:t>six</w:t>
      </w:r>
      <w:r w:rsidRPr="00B17166">
        <w:rPr>
          <w:rStyle w:val="Accentuation"/>
          <w:i w:val="0"/>
          <w:lang w:val="fr-BE"/>
        </w:rPr>
        <w:t xml:space="preserve"> affaires au tribunal de Libreville en </w:t>
      </w:r>
      <w:r w:rsidRPr="00B17166">
        <w:rPr>
          <w:rStyle w:val="Accentuation"/>
          <w:i w:val="0"/>
          <w:lang w:val="fr-BE"/>
        </w:rPr>
        <w:lastRenderedPageBreak/>
        <w:t xml:space="preserve">ce mois de juin 2020. Les audiences ayant repris, les trois jours consacrés au suivi des différentes audiences de plaidoirie et de délibéré ont permis de faire condamner 9 trafiquants d’ivoire à des peines d’emprisonnement allant jusqu’à trois ans outre des amendes maximisées parfois à plus de dix millions de francs CFA. </w:t>
      </w:r>
    </w:p>
    <w:p w:rsidR="00306FD5" w:rsidRPr="00E27DD6" w:rsidRDefault="00306FD5" w:rsidP="00306FD5">
      <w:pPr>
        <w:spacing w:after="240"/>
        <w:jc w:val="both"/>
        <w:rPr>
          <w:rStyle w:val="Accentuation"/>
          <w:rFonts w:asciiTheme="minorHAnsi" w:hAnsiTheme="minorHAnsi" w:cstheme="minorHAnsi"/>
          <w:b/>
          <w:i w:val="0"/>
        </w:rPr>
      </w:pPr>
      <w:r w:rsidRPr="00E27DD6">
        <w:rPr>
          <w:rStyle w:val="Accentuation"/>
          <w:rFonts w:asciiTheme="minorHAnsi" w:hAnsiTheme="minorHAnsi" w:cstheme="minorHAnsi"/>
          <w:b/>
          <w:i w:val="0"/>
        </w:rPr>
        <w:t xml:space="preserve">4.1. Suivi des affaires </w:t>
      </w:r>
    </w:p>
    <w:p w:rsidR="00306FD5" w:rsidRPr="00E27DD6" w:rsidRDefault="00B3415C" w:rsidP="00306FD5">
      <w:pPr>
        <w:spacing w:after="240"/>
        <w:jc w:val="both"/>
        <w:rPr>
          <w:rStyle w:val="Accentuation"/>
          <w:rFonts w:asciiTheme="minorHAnsi" w:hAnsiTheme="minorHAnsi" w:cstheme="minorHAnsi"/>
        </w:rPr>
      </w:pPr>
      <w:r w:rsidRPr="00E27DD6">
        <w:rPr>
          <w:rStyle w:val="Accentuation"/>
          <w:rFonts w:asciiTheme="minorHAnsi" w:hAnsiTheme="minorHAnsi" w:cstheme="minorHAnsi"/>
        </w:rPr>
        <w:t>Indicateur:</w:t>
      </w:r>
    </w:p>
    <w:tbl>
      <w:tblPr>
        <w:tblStyle w:val="Grilledetableauclaire1"/>
        <w:tblW w:w="0" w:type="auto"/>
        <w:jc w:val="center"/>
        <w:tblLook w:val="04A0"/>
      </w:tblPr>
      <w:tblGrid>
        <w:gridCol w:w="4644"/>
        <w:gridCol w:w="4200"/>
      </w:tblGrid>
      <w:tr w:rsidR="00306FD5" w:rsidRPr="00E27DD6" w:rsidTr="000B5D2B">
        <w:trPr>
          <w:jc w:val="center"/>
        </w:trPr>
        <w:tc>
          <w:tcPr>
            <w:tcW w:w="4644" w:type="dxa"/>
          </w:tcPr>
          <w:p w:rsidR="00306FD5" w:rsidRPr="00E27DD6" w:rsidRDefault="00B3415C" w:rsidP="000B5D2B">
            <w:pPr>
              <w:jc w:val="both"/>
              <w:rPr>
                <w:rStyle w:val="Accentuation"/>
                <w:rFonts w:asciiTheme="minorHAnsi" w:hAnsiTheme="minorHAnsi" w:cstheme="minorHAnsi"/>
              </w:rPr>
            </w:pPr>
            <w:r w:rsidRPr="00E27DD6">
              <w:rPr>
                <w:rStyle w:val="Accentuation"/>
                <w:rFonts w:asciiTheme="minorHAnsi" w:hAnsiTheme="minorHAnsi" w:cstheme="minorHAnsi"/>
              </w:rPr>
              <w:t>Nombre d’affaires suivies</w:t>
            </w:r>
          </w:p>
        </w:tc>
        <w:tc>
          <w:tcPr>
            <w:tcW w:w="4200" w:type="dxa"/>
          </w:tcPr>
          <w:p w:rsidR="00306FD5" w:rsidRPr="00E27DD6" w:rsidRDefault="00B3415C" w:rsidP="000B5D2B">
            <w:pPr>
              <w:jc w:val="center"/>
              <w:rPr>
                <w:rStyle w:val="Accentuation"/>
                <w:rFonts w:asciiTheme="minorHAnsi" w:hAnsiTheme="minorHAnsi" w:cstheme="minorHAnsi"/>
              </w:rPr>
            </w:pPr>
            <w:r w:rsidRPr="00E27DD6">
              <w:rPr>
                <w:rStyle w:val="Accentuation"/>
                <w:rFonts w:asciiTheme="minorHAnsi" w:hAnsiTheme="minorHAnsi" w:cstheme="minorHAnsi"/>
              </w:rPr>
              <w:t>0</w:t>
            </w:r>
            <w:r w:rsidR="00965C4E">
              <w:rPr>
                <w:rStyle w:val="Accentuation"/>
                <w:rFonts w:asciiTheme="minorHAnsi" w:hAnsiTheme="minorHAnsi" w:cstheme="minorHAnsi"/>
              </w:rPr>
              <w:t>6</w:t>
            </w:r>
          </w:p>
        </w:tc>
      </w:tr>
      <w:tr w:rsidR="00FE68C6" w:rsidRPr="00E27DD6" w:rsidTr="000B5D2B">
        <w:trPr>
          <w:jc w:val="center"/>
        </w:trPr>
        <w:tc>
          <w:tcPr>
            <w:tcW w:w="4644" w:type="dxa"/>
          </w:tcPr>
          <w:p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Nombre de condamnations</w:t>
            </w:r>
          </w:p>
        </w:tc>
        <w:tc>
          <w:tcPr>
            <w:tcW w:w="4200" w:type="dxa"/>
          </w:tcPr>
          <w:p w:rsidR="00FE68C6" w:rsidRPr="00E27DD6" w:rsidRDefault="00B3415C" w:rsidP="00FE68C6">
            <w:pPr>
              <w:jc w:val="center"/>
              <w:rPr>
                <w:rStyle w:val="Accentuation"/>
                <w:rFonts w:asciiTheme="minorHAnsi" w:hAnsiTheme="minorHAnsi" w:cstheme="minorHAnsi"/>
                <w:color w:val="FF0000"/>
              </w:rPr>
            </w:pPr>
            <w:r w:rsidRPr="00E27DD6">
              <w:rPr>
                <w:rStyle w:val="Accentuation"/>
                <w:rFonts w:asciiTheme="minorHAnsi" w:hAnsiTheme="minorHAnsi" w:cstheme="minorHAnsi"/>
              </w:rPr>
              <w:t>0</w:t>
            </w:r>
            <w:r w:rsidR="00F2197B">
              <w:rPr>
                <w:rStyle w:val="Accentuation"/>
                <w:rFonts w:asciiTheme="minorHAnsi" w:hAnsiTheme="minorHAnsi" w:cstheme="minorHAnsi"/>
              </w:rPr>
              <w:t>9</w:t>
            </w:r>
          </w:p>
        </w:tc>
      </w:tr>
      <w:tr w:rsidR="00FE68C6" w:rsidRPr="00E27DD6" w:rsidTr="000B5D2B">
        <w:trPr>
          <w:jc w:val="center"/>
        </w:trPr>
        <w:tc>
          <w:tcPr>
            <w:tcW w:w="4644" w:type="dxa"/>
          </w:tcPr>
          <w:p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Affaires enregistrées</w:t>
            </w:r>
          </w:p>
        </w:tc>
        <w:tc>
          <w:tcPr>
            <w:tcW w:w="4200" w:type="dxa"/>
          </w:tcPr>
          <w:p w:rsidR="00FE68C6" w:rsidRPr="00E27DD6" w:rsidRDefault="00B3415C" w:rsidP="00FE68C6">
            <w:pPr>
              <w:jc w:val="center"/>
              <w:rPr>
                <w:rStyle w:val="Accentuation"/>
                <w:rFonts w:asciiTheme="minorHAnsi" w:hAnsiTheme="minorHAnsi" w:cstheme="minorHAnsi"/>
                <w:color w:val="FF0000"/>
              </w:rPr>
            </w:pPr>
            <w:r w:rsidRPr="00E27DD6">
              <w:rPr>
                <w:rStyle w:val="Accentuation"/>
                <w:rFonts w:asciiTheme="minorHAnsi" w:hAnsiTheme="minorHAnsi" w:cstheme="minorHAnsi"/>
              </w:rPr>
              <w:t>00</w:t>
            </w:r>
          </w:p>
        </w:tc>
      </w:tr>
      <w:tr w:rsidR="00FE68C6" w:rsidRPr="00E27DD6" w:rsidTr="000B5D2B">
        <w:trPr>
          <w:jc w:val="center"/>
        </w:trPr>
        <w:tc>
          <w:tcPr>
            <w:tcW w:w="4644" w:type="dxa"/>
          </w:tcPr>
          <w:p w:rsidR="00FE68C6" w:rsidRPr="00E27DD6" w:rsidRDefault="00B3415C" w:rsidP="00FE68C6">
            <w:pPr>
              <w:jc w:val="both"/>
              <w:rPr>
                <w:rStyle w:val="Accentuation"/>
                <w:rFonts w:asciiTheme="minorHAnsi" w:hAnsiTheme="minorHAnsi" w:cstheme="minorHAnsi"/>
              </w:rPr>
            </w:pPr>
            <w:r w:rsidRPr="00E27DD6">
              <w:rPr>
                <w:rStyle w:val="Accentuation"/>
                <w:rFonts w:asciiTheme="minorHAnsi" w:hAnsiTheme="minorHAnsi" w:cstheme="minorHAnsi"/>
              </w:rPr>
              <w:t>Nombre de prévenus</w:t>
            </w:r>
          </w:p>
        </w:tc>
        <w:tc>
          <w:tcPr>
            <w:tcW w:w="4200" w:type="dxa"/>
          </w:tcPr>
          <w:p w:rsidR="00FE68C6" w:rsidRPr="00E27DD6" w:rsidRDefault="00F2197B" w:rsidP="00FE68C6">
            <w:pPr>
              <w:jc w:val="center"/>
              <w:rPr>
                <w:rStyle w:val="Accentuation"/>
                <w:rFonts w:asciiTheme="minorHAnsi" w:hAnsiTheme="minorHAnsi" w:cstheme="minorHAnsi"/>
                <w:color w:val="FF0000"/>
              </w:rPr>
            </w:pPr>
            <w:r>
              <w:rPr>
                <w:rStyle w:val="Accentuation"/>
                <w:rFonts w:asciiTheme="minorHAnsi" w:hAnsiTheme="minorHAnsi" w:cstheme="minorHAnsi"/>
              </w:rPr>
              <w:t>13</w:t>
            </w:r>
          </w:p>
        </w:tc>
      </w:tr>
    </w:tbl>
    <w:p w:rsidR="00D15EAF" w:rsidRPr="00E27DD6" w:rsidRDefault="00D15EAF" w:rsidP="00893459">
      <w:pPr>
        <w:spacing w:line="276" w:lineRule="auto"/>
        <w:jc w:val="both"/>
        <w:rPr>
          <w:rStyle w:val="Accentuation"/>
          <w:rFonts w:asciiTheme="minorHAnsi" w:hAnsiTheme="minorHAnsi" w:cstheme="minorHAnsi"/>
          <w:i w:val="0"/>
          <w:lang w:val="fr-BE"/>
        </w:rPr>
      </w:pPr>
    </w:p>
    <w:p w:rsidR="003914F2" w:rsidRDefault="00F2197B" w:rsidP="00893459">
      <w:pPr>
        <w:spacing w:line="276" w:lineRule="auto"/>
        <w:jc w:val="both"/>
        <w:rPr>
          <w:i/>
          <w:color w:val="222222"/>
        </w:rPr>
      </w:pPr>
      <w:r w:rsidRPr="00F2197B">
        <w:rPr>
          <w:rStyle w:val="Accentuation"/>
          <w:i w:val="0"/>
          <w:lang w:val="fr-BE"/>
        </w:rPr>
        <w:t>Aucune nouvelle affaire n’a eu lieu ce mois de juin 2020 car aucune arrestation n’a été réalisée à cause de la situation sanitaire</w:t>
      </w:r>
      <w:r w:rsidRPr="00F2197B">
        <w:rPr>
          <w:i/>
          <w:color w:val="222222"/>
        </w:rPr>
        <w:t>.</w:t>
      </w:r>
    </w:p>
    <w:p w:rsidR="00965C4E" w:rsidRDefault="00965C4E" w:rsidP="00893459">
      <w:pPr>
        <w:spacing w:line="276" w:lineRule="auto"/>
        <w:jc w:val="both"/>
        <w:rPr>
          <w:i/>
          <w:color w:val="222222"/>
        </w:rPr>
      </w:pPr>
    </w:p>
    <w:p w:rsidR="00965C4E" w:rsidRPr="00965C4E" w:rsidRDefault="00965C4E" w:rsidP="00965C4E">
      <w:pPr>
        <w:spacing w:line="276" w:lineRule="auto"/>
        <w:jc w:val="both"/>
        <w:rPr>
          <w:rStyle w:val="Accentuation"/>
          <w:i w:val="0"/>
          <w:lang w:val="fr-BE"/>
        </w:rPr>
      </w:pPr>
      <w:r w:rsidRPr="00965C4E">
        <w:rPr>
          <w:rStyle w:val="Accentuation"/>
          <w:i w:val="0"/>
          <w:lang w:val="fr-BE"/>
        </w:rPr>
        <w:t>Ainsi, les différentes audiences ont porté sur les affaires citées ci-dessous :</w:t>
      </w:r>
    </w:p>
    <w:p w:rsidR="00965C4E" w:rsidRPr="00965C4E" w:rsidRDefault="00965C4E" w:rsidP="00965C4E">
      <w:pPr>
        <w:jc w:val="both"/>
        <w:rPr>
          <w:color w:val="222222"/>
          <w:lang w:eastAsia="fr-FR"/>
        </w:rPr>
      </w:pPr>
    </w:p>
    <w:p w:rsidR="00965C4E" w:rsidRPr="00965C4E" w:rsidRDefault="00965C4E" w:rsidP="00965C4E">
      <w:pPr>
        <w:pStyle w:val="Paragraphedeliste"/>
        <w:numPr>
          <w:ilvl w:val="0"/>
          <w:numId w:val="22"/>
        </w:numPr>
        <w:jc w:val="both"/>
        <w:rPr>
          <w:color w:val="222222"/>
          <w:lang w:eastAsia="fr-FR"/>
        </w:rPr>
      </w:pPr>
      <w:r w:rsidRPr="00965C4E">
        <w:rPr>
          <w:b/>
          <w:color w:val="222222"/>
          <w:lang w:eastAsia="fr-FR"/>
        </w:rPr>
        <w:t>Ministère Public (MP) &amp; Ministère des Eaux et Forêts (MEF) C/ MAPILA Grégoire et MAZOU Frédéric</w:t>
      </w:r>
      <w:r w:rsidRPr="00965C4E">
        <w:rPr>
          <w:color w:val="222222"/>
          <w:lang w:eastAsia="fr-FR"/>
        </w:rPr>
        <w:t>.</w:t>
      </w:r>
    </w:p>
    <w:p w:rsidR="00965C4E" w:rsidRPr="00965C4E" w:rsidRDefault="00965C4E" w:rsidP="00965C4E">
      <w:pPr>
        <w:jc w:val="both"/>
        <w:rPr>
          <w:color w:val="222222"/>
          <w:lang w:eastAsia="fr-FR"/>
        </w:rPr>
      </w:pPr>
      <w:r w:rsidRPr="00965C4E">
        <w:rPr>
          <w:color w:val="222222"/>
          <w:lang w:eastAsia="fr-FR"/>
        </w:rPr>
        <w:t xml:space="preserve">Arrêtés les 14 et 15 février 2020 dans la province </w:t>
      </w:r>
      <w:r>
        <w:rPr>
          <w:color w:val="222222"/>
          <w:lang w:eastAsia="fr-FR"/>
        </w:rPr>
        <w:t>du Haut-Ogooué pour trafic d’</w:t>
      </w:r>
      <w:r w:rsidRPr="00965C4E">
        <w:rPr>
          <w:color w:val="222222"/>
          <w:lang w:eastAsia="fr-FR"/>
        </w:rPr>
        <w:t xml:space="preserve">ivoire d’éléphant puis placés en détention préventive par le procureur de la République avant d’être jugés à l’audience de plaidoirie de Maître MEZUI Irénée le 6 mars 2020, en date du </w:t>
      </w:r>
      <w:r w:rsidRPr="00965C4E">
        <w:rPr>
          <w:color w:val="222222"/>
          <w:u w:val="single"/>
          <w:lang w:eastAsia="fr-FR"/>
        </w:rPr>
        <w:t>16 juin 2020</w:t>
      </w:r>
      <w:r w:rsidRPr="00965C4E">
        <w:rPr>
          <w:color w:val="222222"/>
          <w:lang w:eastAsia="fr-FR"/>
        </w:rPr>
        <w:t>,  Ils ont été reconnus coupables des délits de détention et commercialisation de pointes d'ivoire. Messieurs MAPILA Grégoire et MAZOU Frédéric ont écopé de trois (03) ans de prison dont un (01) avec sursis. Ils devront payer une amende de 12 500 000 Francs CFA en plus de 3 000 000 Francs CFA qu'ils doivent verser à l'Etat au titre des dommages et intérêts. Ils devront recouvrer la liberté au mois de février 2022.</w:t>
      </w:r>
    </w:p>
    <w:p w:rsidR="00965C4E" w:rsidRPr="00965C4E" w:rsidRDefault="00965C4E" w:rsidP="00965C4E">
      <w:pPr>
        <w:jc w:val="both"/>
        <w:rPr>
          <w:color w:val="222222"/>
          <w:lang w:eastAsia="fr-FR"/>
        </w:rPr>
      </w:pPr>
    </w:p>
    <w:p w:rsidR="00965C4E" w:rsidRPr="00965C4E" w:rsidRDefault="00965C4E" w:rsidP="00965C4E">
      <w:pPr>
        <w:pStyle w:val="Paragraphedeliste"/>
        <w:numPr>
          <w:ilvl w:val="0"/>
          <w:numId w:val="22"/>
        </w:numPr>
        <w:jc w:val="both"/>
        <w:rPr>
          <w:b/>
          <w:color w:val="222222"/>
          <w:lang w:eastAsia="fr-FR"/>
        </w:rPr>
      </w:pPr>
      <w:r w:rsidRPr="00965C4E">
        <w:rPr>
          <w:b/>
          <w:color w:val="222222"/>
          <w:lang w:eastAsia="fr-FR"/>
        </w:rPr>
        <w:t xml:space="preserve"> MP &amp; MEF C/ Sany MOHAMED</w:t>
      </w:r>
    </w:p>
    <w:p w:rsidR="00965C4E" w:rsidRPr="00965C4E" w:rsidRDefault="00965C4E" w:rsidP="00965C4E">
      <w:pPr>
        <w:jc w:val="both"/>
        <w:rPr>
          <w:color w:val="222222"/>
          <w:lang w:eastAsia="fr-FR"/>
        </w:rPr>
      </w:pPr>
      <w:r w:rsidRPr="00965C4E">
        <w:rPr>
          <w:color w:val="222222"/>
          <w:lang w:eastAsia="fr-FR"/>
        </w:rPr>
        <w:t xml:space="preserve">Sany MOHAMED a été interpellé le 18 février 2020 à Makokou pour trafic d'ivoire après une traque de plus de 5 ans. Placé en détention préventive à la prison centrale de Libreville par le Procureur de la République, après être jugé à l’audience de plaidoirie de l’avocat de l’administration des eaux et forêts Maître MEZUI Irénée en date du 6 mars 2020, au cours de l’audience de délibéré du </w:t>
      </w:r>
      <w:r w:rsidRPr="00965C4E">
        <w:rPr>
          <w:color w:val="222222"/>
          <w:u w:val="single"/>
          <w:lang w:eastAsia="fr-FR"/>
        </w:rPr>
        <w:t>16 juin 2020</w:t>
      </w:r>
      <w:r w:rsidRPr="00965C4E">
        <w:rPr>
          <w:color w:val="222222"/>
          <w:lang w:eastAsia="fr-FR"/>
        </w:rPr>
        <w:t>, il sera  reconnu coupable de détention d'ivoire et  condamné à trois ans  de prison dont un (01) avec sursis. Outre une amende pénale de 3 456 000 Francs CFA, il devra également payer la somme de 3 000 000 Francs CFA au titre de dédommagement du préjudice causé à l'Etat. Il sera probablement libre au mois de février 2022.</w:t>
      </w:r>
    </w:p>
    <w:p w:rsidR="00965C4E" w:rsidRPr="00965C4E" w:rsidRDefault="00965C4E" w:rsidP="00965C4E">
      <w:pPr>
        <w:jc w:val="both"/>
        <w:rPr>
          <w:color w:val="222222"/>
          <w:lang w:eastAsia="fr-FR"/>
        </w:rPr>
      </w:pPr>
    </w:p>
    <w:p w:rsidR="00965C4E" w:rsidRPr="009B4FE5" w:rsidRDefault="00965C4E" w:rsidP="00965C4E">
      <w:pPr>
        <w:pStyle w:val="Paragraphedeliste"/>
        <w:numPr>
          <w:ilvl w:val="0"/>
          <w:numId w:val="22"/>
        </w:numPr>
        <w:jc w:val="both"/>
        <w:rPr>
          <w:color w:val="222222"/>
          <w:lang w:eastAsia="fr-FR"/>
        </w:rPr>
      </w:pPr>
      <w:r w:rsidRPr="00965C4E">
        <w:rPr>
          <w:b/>
          <w:color w:val="222222"/>
          <w:lang w:eastAsia="fr-FR"/>
        </w:rPr>
        <w:t>MP C/ ENGONE Jean et ETOUGHE Filbert</w:t>
      </w:r>
    </w:p>
    <w:p w:rsidR="00965C4E" w:rsidRPr="00965C4E" w:rsidRDefault="00965C4E" w:rsidP="00965C4E">
      <w:pPr>
        <w:jc w:val="both"/>
        <w:rPr>
          <w:color w:val="222222"/>
          <w:lang w:eastAsia="fr-FR"/>
        </w:rPr>
      </w:pPr>
      <w:r w:rsidRPr="00965C4E">
        <w:rPr>
          <w:color w:val="222222"/>
          <w:lang w:eastAsia="fr-FR"/>
        </w:rPr>
        <w:t>Les nommés ENGONE Jean et ETOUGHE Filbert arrêtés dans la ville de Cocobeach en date du 3 mars 2020 par la gendarme</w:t>
      </w:r>
      <w:r w:rsidR="00ED7187">
        <w:rPr>
          <w:color w:val="222222"/>
          <w:lang w:eastAsia="fr-FR"/>
        </w:rPr>
        <w:t>rie</w:t>
      </w:r>
      <w:r w:rsidRPr="00965C4E">
        <w:rPr>
          <w:color w:val="222222"/>
          <w:lang w:eastAsia="fr-FR"/>
        </w:rPr>
        <w:t xml:space="preserve"> de cette ville puis placés en détention préventive à la prison centrale de Libreville par le Procureur de la République, les mis en cause jugés à l’audience de plaidoirie du 6 mars 2020 sans avocat, en date du </w:t>
      </w:r>
      <w:r w:rsidRPr="00965C4E">
        <w:rPr>
          <w:color w:val="222222"/>
          <w:u w:val="single"/>
          <w:lang w:eastAsia="fr-FR"/>
        </w:rPr>
        <w:t>16 juin 2020</w:t>
      </w:r>
      <w:r w:rsidRPr="00965C4E">
        <w:rPr>
          <w:color w:val="222222"/>
          <w:lang w:eastAsia="fr-FR"/>
        </w:rPr>
        <w:t xml:space="preserve">, ils sont reconnus coupables des délits de chasse illégale et de détention d'ivoire. Ils ont donc écopé de la peine d’un (01) an de prison dont 4 mois avec sursis. L’administration ne s’étant pas </w:t>
      </w:r>
      <w:r w:rsidRPr="00965C4E">
        <w:rPr>
          <w:color w:val="222222"/>
          <w:lang w:eastAsia="fr-FR"/>
        </w:rPr>
        <w:lastRenderedPageBreak/>
        <w:t>constituée partie civile, seule une amende pénale d’un million (1 000 000) Francs CFA leur sera également infligée. Ils devront sortir de prison au mois de novembre 2020.</w:t>
      </w:r>
    </w:p>
    <w:p w:rsidR="00965C4E" w:rsidRPr="00965C4E" w:rsidRDefault="00965C4E" w:rsidP="00965C4E">
      <w:pPr>
        <w:jc w:val="both"/>
        <w:rPr>
          <w:color w:val="222222"/>
          <w:lang w:eastAsia="fr-FR"/>
        </w:rPr>
      </w:pPr>
    </w:p>
    <w:p w:rsidR="00965C4E" w:rsidRPr="009B4FE5" w:rsidRDefault="00965C4E" w:rsidP="00965C4E">
      <w:pPr>
        <w:pStyle w:val="Paragraphedeliste"/>
        <w:numPr>
          <w:ilvl w:val="0"/>
          <w:numId w:val="22"/>
        </w:numPr>
        <w:jc w:val="both"/>
        <w:rPr>
          <w:b/>
          <w:color w:val="222222"/>
          <w:lang w:eastAsia="fr-FR"/>
        </w:rPr>
      </w:pPr>
      <w:r w:rsidRPr="00965C4E">
        <w:rPr>
          <w:b/>
          <w:color w:val="222222"/>
          <w:lang w:eastAsia="fr-FR"/>
        </w:rPr>
        <w:t xml:space="preserve"> MP &amp; MEF C/ Sylla DEMBA</w:t>
      </w:r>
    </w:p>
    <w:p w:rsidR="00965C4E" w:rsidRPr="00965C4E" w:rsidRDefault="00965C4E" w:rsidP="00965C4E">
      <w:pPr>
        <w:jc w:val="both"/>
        <w:rPr>
          <w:color w:val="222222"/>
          <w:lang w:eastAsia="fr-FR"/>
        </w:rPr>
      </w:pPr>
      <w:r w:rsidRPr="00965C4E">
        <w:rPr>
          <w:color w:val="222222"/>
          <w:lang w:eastAsia="fr-FR"/>
        </w:rPr>
        <w:t xml:space="preserve">Le nommé Sylla DEMBA interpellé le 27 août 2019 à Sindara dans la province de la Ngounié pour trafic d'ivoire puis placé en détention préventive à la prison centrale de Libreville par le procureur de la République a été jugé à l’audience plaidée par l’avocat Maître MEZUI Irénée. Le procureur ayant requis six (06) ans de prison ferme, l'avocat quant à lui va demander le paiement de la somme de dix millions (10 000 000) Francs CFA au titre dédommagement du préjudice subi par l’Etat. La décision a donc été renvoyée pour l’audience du </w:t>
      </w:r>
      <w:r w:rsidRPr="00965C4E">
        <w:rPr>
          <w:color w:val="222222"/>
          <w:u w:val="single"/>
          <w:lang w:eastAsia="fr-FR"/>
        </w:rPr>
        <w:t>19 juin 2020</w:t>
      </w:r>
      <w:r w:rsidRPr="00965C4E">
        <w:rPr>
          <w:color w:val="222222"/>
          <w:lang w:eastAsia="fr-FR"/>
        </w:rPr>
        <w:t>. Sylla DEMBA a été reconnu coupable du délit de détention de pointes d'ivoire et condamné à deux (02) ans de prison ferme et un million (1 000 000) Francs CFA de dommages et intérêts. Il sortira au mois d’août 2022.</w:t>
      </w:r>
    </w:p>
    <w:p w:rsidR="00965C4E" w:rsidRPr="00965C4E" w:rsidRDefault="00965C4E" w:rsidP="00965C4E">
      <w:pPr>
        <w:jc w:val="both"/>
        <w:rPr>
          <w:color w:val="222222"/>
          <w:lang w:eastAsia="fr-FR"/>
        </w:rPr>
      </w:pPr>
    </w:p>
    <w:p w:rsidR="00965C4E" w:rsidRPr="009B4FE5" w:rsidRDefault="00965C4E" w:rsidP="00965C4E">
      <w:pPr>
        <w:pStyle w:val="Paragraphedeliste"/>
        <w:numPr>
          <w:ilvl w:val="0"/>
          <w:numId w:val="22"/>
        </w:numPr>
        <w:jc w:val="both"/>
        <w:rPr>
          <w:b/>
          <w:color w:val="222222"/>
          <w:lang w:eastAsia="fr-FR"/>
        </w:rPr>
      </w:pPr>
      <w:r w:rsidRPr="00965C4E">
        <w:rPr>
          <w:b/>
          <w:color w:val="222222"/>
          <w:lang w:eastAsia="fr-FR"/>
        </w:rPr>
        <w:t xml:space="preserve"> </w:t>
      </w:r>
      <w:r w:rsidRPr="00965C4E">
        <w:rPr>
          <w:b/>
          <w:color w:val="000000"/>
          <w:lang w:eastAsia="fr-FR"/>
        </w:rPr>
        <w:t>MP</w:t>
      </w:r>
      <w:r w:rsidRPr="00965C4E">
        <w:rPr>
          <w:b/>
          <w:color w:val="222222"/>
          <w:lang w:eastAsia="fr-FR"/>
        </w:rPr>
        <w:t xml:space="preserve"> &amp; MEF C/ MOUKAMBI MOUBEYI François, BAKO MOHAMED et PILAMA Jean-Marie</w:t>
      </w:r>
    </w:p>
    <w:p w:rsidR="00965C4E" w:rsidRPr="00965C4E" w:rsidRDefault="00965C4E" w:rsidP="00965C4E">
      <w:pPr>
        <w:jc w:val="both"/>
        <w:rPr>
          <w:color w:val="000000"/>
          <w:lang w:eastAsia="fr-FR"/>
        </w:rPr>
      </w:pPr>
      <w:r w:rsidRPr="00965C4E">
        <w:rPr>
          <w:color w:val="222222"/>
          <w:lang w:eastAsia="fr-FR"/>
        </w:rPr>
        <w:t xml:space="preserve">Les nommés MOUKAMBI MOUBEYI François, BAKO MOHAMED et PILAMA Jean-Marie avaient été arrêtés le 18 octobre 2019 à Makokou pour trafic d’ivoire d’éléphant puis placés en détention préventive par le procureur de la République. En date du 19 juin 2020, les mis en cause ont été jugés. Le procureur a requis 4 ans de prison ferme et l'avocat a demandé 5 millions de francs CFA à titre de dommages et intérêts. </w:t>
      </w:r>
      <w:r w:rsidRPr="00965C4E">
        <w:rPr>
          <w:color w:val="000000"/>
          <w:lang w:eastAsia="fr-FR"/>
        </w:rPr>
        <w:t xml:space="preserve">A l’audience du </w:t>
      </w:r>
      <w:r w:rsidRPr="00965C4E">
        <w:rPr>
          <w:color w:val="000000"/>
          <w:u w:val="single"/>
          <w:lang w:eastAsia="fr-FR"/>
        </w:rPr>
        <w:t>26 juin dernier</w:t>
      </w:r>
      <w:r w:rsidRPr="00965C4E">
        <w:rPr>
          <w:color w:val="000000"/>
          <w:lang w:eastAsia="fr-FR"/>
        </w:rPr>
        <w:t xml:space="preserve">, ils ont été reconnus coupables de trafic d’ivoire ont écopé une peine de 2 ans d'emprisonnement dont 1 assorti de sursis, 2.000.000 de francs CFA d'amende et 1.000.000 de dommages et intérêts à payer l’administration des eaux et forêts. </w:t>
      </w:r>
    </w:p>
    <w:p w:rsidR="00965C4E" w:rsidRPr="00965C4E" w:rsidRDefault="00965C4E" w:rsidP="00965C4E">
      <w:pPr>
        <w:jc w:val="both"/>
        <w:rPr>
          <w:color w:val="000000"/>
          <w:lang w:eastAsia="fr-FR"/>
        </w:rPr>
      </w:pPr>
    </w:p>
    <w:p w:rsidR="00965C4E" w:rsidRPr="00965C4E" w:rsidRDefault="00965C4E" w:rsidP="00965C4E">
      <w:pPr>
        <w:pStyle w:val="Paragraphedeliste"/>
        <w:numPr>
          <w:ilvl w:val="0"/>
          <w:numId w:val="22"/>
        </w:numPr>
        <w:jc w:val="both"/>
        <w:rPr>
          <w:color w:val="222222"/>
          <w:lang w:eastAsia="fr-FR"/>
        </w:rPr>
      </w:pPr>
      <w:r w:rsidRPr="00965C4E">
        <w:rPr>
          <w:b/>
          <w:color w:val="222222"/>
          <w:lang w:eastAsia="fr-FR"/>
        </w:rPr>
        <w:t xml:space="preserve"> </w:t>
      </w:r>
      <w:r w:rsidRPr="00965C4E">
        <w:rPr>
          <w:b/>
          <w:color w:val="000000"/>
          <w:lang w:eastAsia="fr-FR"/>
        </w:rPr>
        <w:t xml:space="preserve">M P et MEF </w:t>
      </w:r>
      <w:r w:rsidRPr="00965C4E">
        <w:rPr>
          <w:b/>
          <w:color w:val="222222"/>
          <w:lang w:eastAsia="fr-FR"/>
        </w:rPr>
        <w:t>C/ GUIAMOUSSANGOU Ignace et LEMI Judicaël</w:t>
      </w:r>
    </w:p>
    <w:p w:rsidR="00965C4E" w:rsidRPr="00965C4E" w:rsidRDefault="00965C4E" w:rsidP="00965C4E">
      <w:pPr>
        <w:jc w:val="both"/>
        <w:rPr>
          <w:rStyle w:val="Accentuation"/>
          <w:i w:val="0"/>
          <w:iCs w:val="0"/>
          <w:color w:val="000000"/>
          <w:lang w:eastAsia="fr-FR"/>
        </w:rPr>
      </w:pPr>
      <w:r w:rsidRPr="00965C4E">
        <w:rPr>
          <w:color w:val="222222"/>
          <w:lang w:eastAsia="fr-FR"/>
        </w:rPr>
        <w:t>GUIAMOUSSANGOU Ignace et LEMI Judicaël</w:t>
      </w:r>
      <w:r w:rsidRPr="00965C4E">
        <w:rPr>
          <w:color w:val="000000"/>
          <w:lang w:eastAsia="fr-FR"/>
        </w:rPr>
        <w:t xml:space="preserve"> interpelés en possession de 2 pointes d'ivoire, le 26 octobre 2019 à Franceville ont été jugés à l’audience de plaidoirie au cours de laquelle le Procureur a requis 5 ans d'emprisonnement ferme alors que l’avocat de la partie civile a demandé 10. 000.000 de francs CFA au titre de dommages et intérêts.   L'audience de délibéré est fixée pour le 03 juillet 2020 de la semaine prochaine.</w:t>
      </w:r>
    </w:p>
    <w:p w:rsidR="00306FD5" w:rsidRPr="00E27DD6" w:rsidRDefault="00B3415C" w:rsidP="00306FD5">
      <w:pPr>
        <w:spacing w:before="120" w:after="120" w:line="276" w:lineRule="auto"/>
        <w:jc w:val="both"/>
        <w:rPr>
          <w:rStyle w:val="Accentuation"/>
          <w:rFonts w:asciiTheme="minorHAnsi" w:hAnsiTheme="minorHAnsi" w:cstheme="minorHAnsi"/>
          <w:b/>
          <w:i w:val="0"/>
        </w:rPr>
      </w:pPr>
      <w:bookmarkStart w:id="5" w:name="_Toc7774930"/>
      <w:r w:rsidRPr="00E27DD6">
        <w:rPr>
          <w:rStyle w:val="Accentuation"/>
          <w:rFonts w:asciiTheme="minorHAnsi" w:hAnsiTheme="minorHAnsi" w:cstheme="minorHAnsi"/>
          <w:b/>
          <w:i w:val="0"/>
        </w:rPr>
        <w:t>4.2. Visites de prison</w:t>
      </w:r>
    </w:p>
    <w:p w:rsidR="00306FD5" w:rsidRPr="00E27DD6" w:rsidRDefault="00306FD5" w:rsidP="00306FD5">
      <w:pPr>
        <w:spacing w:after="240"/>
        <w:jc w:val="both"/>
        <w:rPr>
          <w:rStyle w:val="Accentuation"/>
          <w:rFonts w:asciiTheme="minorHAnsi" w:hAnsiTheme="minorHAnsi" w:cstheme="minorHAnsi"/>
          <w:i w:val="0"/>
        </w:rPr>
      </w:pPr>
      <w:r w:rsidRPr="00E27DD6">
        <w:rPr>
          <w:rStyle w:val="Accentuation"/>
          <w:rFonts w:asciiTheme="minorHAnsi" w:hAnsiTheme="minorHAnsi" w:cstheme="minorHAnsi"/>
        </w:rPr>
        <w:t>Indicateur:</w:t>
      </w:r>
    </w:p>
    <w:tbl>
      <w:tblPr>
        <w:tblStyle w:val="Grilledetableauclaire1"/>
        <w:tblW w:w="9208" w:type="dxa"/>
        <w:tblLook w:val="04A0"/>
      </w:tblPr>
      <w:tblGrid>
        <w:gridCol w:w="4531"/>
        <w:gridCol w:w="4677"/>
      </w:tblGrid>
      <w:tr w:rsidR="00306FD5" w:rsidRPr="00E27DD6" w:rsidTr="000B5D2B">
        <w:trPr>
          <w:trHeight w:val="262"/>
        </w:trPr>
        <w:tc>
          <w:tcPr>
            <w:tcW w:w="4531" w:type="dxa"/>
          </w:tcPr>
          <w:p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Nombre de visites effectuées</w:t>
            </w:r>
          </w:p>
        </w:tc>
        <w:tc>
          <w:tcPr>
            <w:tcW w:w="4677" w:type="dxa"/>
          </w:tcPr>
          <w:p w:rsidR="00306FD5" w:rsidRPr="00E27DD6" w:rsidRDefault="00306FD5" w:rsidP="00BE04BF">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BE04BF" w:rsidRPr="00E27DD6">
              <w:rPr>
                <w:rStyle w:val="Accentuation"/>
                <w:rFonts w:asciiTheme="minorHAnsi" w:hAnsiTheme="minorHAnsi" w:cstheme="minorHAnsi"/>
              </w:rPr>
              <w:t>0</w:t>
            </w:r>
          </w:p>
        </w:tc>
      </w:tr>
      <w:tr w:rsidR="00306FD5" w:rsidRPr="00E27DD6" w:rsidTr="000B5D2B">
        <w:trPr>
          <w:trHeight w:val="262"/>
        </w:trPr>
        <w:tc>
          <w:tcPr>
            <w:tcW w:w="4531" w:type="dxa"/>
          </w:tcPr>
          <w:p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Nombre de détenus rencontrés</w:t>
            </w:r>
          </w:p>
        </w:tc>
        <w:tc>
          <w:tcPr>
            <w:tcW w:w="4677" w:type="dxa"/>
          </w:tcPr>
          <w:p w:rsidR="00306FD5" w:rsidRPr="00E27DD6" w:rsidRDefault="0035316B" w:rsidP="00BE04BF">
            <w:pPr>
              <w:jc w:val="center"/>
              <w:rPr>
                <w:rStyle w:val="Accentuation"/>
                <w:rFonts w:asciiTheme="minorHAnsi" w:hAnsiTheme="minorHAnsi" w:cstheme="minorHAnsi"/>
                <w:i w:val="0"/>
              </w:rPr>
            </w:pPr>
            <w:r w:rsidRPr="00E27DD6">
              <w:rPr>
                <w:rStyle w:val="Accentuation"/>
                <w:rFonts w:asciiTheme="minorHAnsi" w:hAnsiTheme="minorHAnsi" w:cstheme="minorHAnsi"/>
              </w:rPr>
              <w:t>0</w:t>
            </w:r>
            <w:r w:rsidR="00BE04BF" w:rsidRPr="00E27DD6">
              <w:rPr>
                <w:rStyle w:val="Accentuation"/>
                <w:rFonts w:asciiTheme="minorHAnsi" w:hAnsiTheme="minorHAnsi" w:cstheme="minorHAnsi"/>
              </w:rPr>
              <w:t>0</w:t>
            </w:r>
          </w:p>
        </w:tc>
      </w:tr>
    </w:tbl>
    <w:p w:rsidR="00596D7F" w:rsidRPr="00E27DD6" w:rsidRDefault="0021695F" w:rsidP="00E27DD6">
      <w:pPr>
        <w:spacing w:before="240" w:after="240"/>
        <w:jc w:val="both"/>
        <w:rPr>
          <w:rStyle w:val="Accentuation"/>
          <w:rFonts w:asciiTheme="minorHAnsi" w:hAnsiTheme="minorHAnsi" w:cstheme="minorHAnsi"/>
          <w:i w:val="0"/>
          <w:lang w:val="fr-BE"/>
        </w:rPr>
      </w:pPr>
      <w:r w:rsidRPr="00E27DD6">
        <w:rPr>
          <w:rStyle w:val="Accentuation"/>
          <w:rFonts w:asciiTheme="minorHAnsi" w:hAnsiTheme="minorHAnsi" w:cstheme="minorHAnsi"/>
          <w:i w:val="0"/>
          <w:lang w:val="fr-BE"/>
        </w:rPr>
        <w:t xml:space="preserve">Aucune visite de prison n’a </w:t>
      </w:r>
      <w:r w:rsidR="003914F2" w:rsidRPr="00E27DD6">
        <w:rPr>
          <w:rStyle w:val="Accentuation"/>
          <w:rFonts w:asciiTheme="minorHAnsi" w:hAnsiTheme="minorHAnsi" w:cstheme="minorHAnsi"/>
          <w:i w:val="0"/>
          <w:lang w:val="fr-BE"/>
        </w:rPr>
        <w:t xml:space="preserve">été effectuée en ce mois de </w:t>
      </w:r>
      <w:r w:rsidR="00561F21">
        <w:rPr>
          <w:rStyle w:val="Accentuation"/>
          <w:rFonts w:asciiTheme="minorHAnsi" w:hAnsiTheme="minorHAnsi" w:cstheme="minorHAnsi"/>
          <w:i w:val="0"/>
          <w:lang w:val="fr-BE"/>
        </w:rPr>
        <w:t>juin</w:t>
      </w:r>
      <w:r w:rsidR="003914F2" w:rsidRPr="00E27DD6">
        <w:rPr>
          <w:rStyle w:val="Accentuation"/>
          <w:rFonts w:asciiTheme="minorHAnsi" w:hAnsiTheme="minorHAnsi" w:cstheme="minorHAnsi"/>
          <w:i w:val="0"/>
          <w:lang w:val="fr-BE"/>
        </w:rPr>
        <w:t xml:space="preserve"> 2020.</w:t>
      </w:r>
    </w:p>
    <w:p w:rsidR="000B7079" w:rsidRPr="00E27DD6" w:rsidRDefault="000B7079" w:rsidP="000B7079">
      <w:pPr>
        <w:pStyle w:val="Titre1"/>
        <w:shd w:val="clear" w:color="auto" w:fill="000000" w:themeFill="text1"/>
        <w:jc w:val="both"/>
        <w:rPr>
          <w:rStyle w:val="Accentuation"/>
          <w:rFonts w:asciiTheme="minorHAnsi" w:hAnsiTheme="minorHAnsi" w:cstheme="minorHAnsi"/>
          <w:i w:val="0"/>
          <w:sz w:val="24"/>
        </w:rPr>
      </w:pPr>
      <w:r w:rsidRPr="00E27DD6">
        <w:rPr>
          <w:rStyle w:val="Accentuation"/>
          <w:rFonts w:asciiTheme="minorHAnsi" w:hAnsiTheme="minorHAnsi" w:cstheme="minorHAnsi"/>
          <w:sz w:val="24"/>
        </w:rPr>
        <w:t>Communication</w:t>
      </w:r>
      <w:bookmarkEnd w:id="5"/>
    </w:p>
    <w:p w:rsidR="000B7079" w:rsidRPr="00E27DD6" w:rsidRDefault="000B7079" w:rsidP="000B7079">
      <w:pPr>
        <w:jc w:val="both"/>
        <w:rPr>
          <w:rStyle w:val="Accentuation"/>
          <w:rFonts w:asciiTheme="minorHAnsi" w:hAnsiTheme="minorHAnsi" w:cstheme="minorHAnsi"/>
          <w:i w:val="0"/>
        </w:rPr>
      </w:pPr>
    </w:p>
    <w:p w:rsidR="000B7079" w:rsidRPr="00E27DD6" w:rsidRDefault="000B7079" w:rsidP="000B7079">
      <w:pPr>
        <w:spacing w:after="240"/>
        <w:jc w:val="both"/>
        <w:rPr>
          <w:rStyle w:val="Accentuation"/>
          <w:rFonts w:asciiTheme="minorHAnsi" w:hAnsiTheme="minorHAnsi" w:cstheme="minorHAnsi"/>
          <w:i w:val="0"/>
        </w:rPr>
      </w:pPr>
      <w:r w:rsidRPr="00E27DD6">
        <w:rPr>
          <w:rStyle w:val="Accentuation"/>
          <w:rFonts w:asciiTheme="minorHAnsi" w:hAnsiTheme="minorHAnsi" w:cstheme="minorHAnsi"/>
        </w:rPr>
        <w:t>Indicateur:</w:t>
      </w:r>
    </w:p>
    <w:tbl>
      <w:tblPr>
        <w:tblStyle w:val="Grilledetableauclaire1"/>
        <w:tblW w:w="8897" w:type="dxa"/>
        <w:tblLook w:val="04A0"/>
      </w:tblPr>
      <w:tblGrid>
        <w:gridCol w:w="4606"/>
        <w:gridCol w:w="4291"/>
      </w:tblGrid>
      <w:tr w:rsidR="000B7079" w:rsidRPr="00E27DD6" w:rsidTr="000F4C8D">
        <w:trPr>
          <w:trHeight w:val="81"/>
        </w:trPr>
        <w:tc>
          <w:tcPr>
            <w:tcW w:w="4606"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Nombre de pièces publiées</w:t>
            </w:r>
          </w:p>
        </w:tc>
        <w:tc>
          <w:tcPr>
            <w:tcW w:w="4291" w:type="dxa"/>
          </w:tcPr>
          <w:p w:rsidR="000B7079" w:rsidRPr="00E27DD6" w:rsidRDefault="00ED7187" w:rsidP="00561F21">
            <w:pPr>
              <w:jc w:val="center"/>
              <w:rPr>
                <w:rStyle w:val="Accentuation"/>
                <w:rFonts w:asciiTheme="minorHAnsi" w:hAnsiTheme="minorHAnsi" w:cstheme="minorHAnsi"/>
              </w:rPr>
            </w:pPr>
            <w:r>
              <w:rPr>
                <w:rStyle w:val="Accentuation"/>
                <w:rFonts w:asciiTheme="minorHAnsi" w:hAnsiTheme="minorHAnsi" w:cstheme="minorHAnsi"/>
              </w:rPr>
              <w:t>02</w:t>
            </w:r>
          </w:p>
        </w:tc>
      </w:tr>
      <w:tr w:rsidR="000B7079" w:rsidRPr="00E27DD6" w:rsidTr="000F4C8D">
        <w:trPr>
          <w:trHeight w:val="272"/>
        </w:trPr>
        <w:tc>
          <w:tcPr>
            <w:tcW w:w="4606"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Télévision</w:t>
            </w:r>
          </w:p>
        </w:tc>
        <w:tc>
          <w:tcPr>
            <w:tcW w:w="4291" w:type="dxa"/>
          </w:tcPr>
          <w:p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561F21">
              <w:rPr>
                <w:rStyle w:val="Accentuation"/>
                <w:rFonts w:asciiTheme="minorHAnsi" w:hAnsiTheme="minorHAnsi" w:cstheme="minorHAnsi"/>
              </w:rPr>
              <w:t>0</w:t>
            </w:r>
          </w:p>
        </w:tc>
      </w:tr>
      <w:tr w:rsidR="000B7079" w:rsidRPr="00E27DD6" w:rsidTr="000F4C8D">
        <w:trPr>
          <w:trHeight w:val="272"/>
        </w:trPr>
        <w:tc>
          <w:tcPr>
            <w:tcW w:w="4606"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Internet</w:t>
            </w:r>
          </w:p>
        </w:tc>
        <w:tc>
          <w:tcPr>
            <w:tcW w:w="4291" w:type="dxa"/>
          </w:tcPr>
          <w:p w:rsidR="000B7079" w:rsidRPr="00E27DD6" w:rsidRDefault="003914F2"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561F21">
              <w:rPr>
                <w:rStyle w:val="Accentuation"/>
                <w:rFonts w:asciiTheme="minorHAnsi" w:hAnsiTheme="minorHAnsi" w:cstheme="minorHAnsi"/>
              </w:rPr>
              <w:t>0</w:t>
            </w:r>
          </w:p>
        </w:tc>
      </w:tr>
      <w:tr w:rsidR="000B7079" w:rsidRPr="00E27DD6" w:rsidTr="000F4C8D">
        <w:trPr>
          <w:trHeight w:val="272"/>
        </w:trPr>
        <w:tc>
          <w:tcPr>
            <w:tcW w:w="4606"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Presse écrite</w:t>
            </w:r>
          </w:p>
        </w:tc>
        <w:tc>
          <w:tcPr>
            <w:tcW w:w="4291" w:type="dxa"/>
          </w:tcPr>
          <w:p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7B05D8">
              <w:rPr>
                <w:rStyle w:val="Accentuation"/>
                <w:rFonts w:asciiTheme="minorHAnsi" w:hAnsiTheme="minorHAnsi" w:cstheme="minorHAnsi"/>
              </w:rPr>
              <w:t>2</w:t>
            </w:r>
          </w:p>
        </w:tc>
      </w:tr>
      <w:tr w:rsidR="000B7079" w:rsidRPr="00E27DD6" w:rsidTr="000F4C8D">
        <w:trPr>
          <w:trHeight w:val="272"/>
        </w:trPr>
        <w:tc>
          <w:tcPr>
            <w:tcW w:w="4606" w:type="dxa"/>
          </w:tcPr>
          <w:p w:rsidR="000B7079" w:rsidRPr="00E27DD6" w:rsidRDefault="000B7079" w:rsidP="000F4C8D">
            <w:pPr>
              <w:jc w:val="both"/>
              <w:rPr>
                <w:rStyle w:val="Accentuation"/>
                <w:rFonts w:asciiTheme="minorHAnsi" w:hAnsiTheme="minorHAnsi" w:cstheme="minorHAnsi"/>
                <w:i w:val="0"/>
              </w:rPr>
            </w:pPr>
            <w:r w:rsidRPr="00E27DD6">
              <w:rPr>
                <w:rStyle w:val="Accentuation"/>
                <w:rFonts w:asciiTheme="minorHAnsi" w:hAnsiTheme="minorHAnsi" w:cstheme="minorHAnsi"/>
              </w:rPr>
              <w:t>Radio</w:t>
            </w:r>
          </w:p>
        </w:tc>
        <w:tc>
          <w:tcPr>
            <w:tcW w:w="4291" w:type="dxa"/>
          </w:tcPr>
          <w:p w:rsidR="000B7079" w:rsidRPr="00E27DD6" w:rsidRDefault="00C11C47" w:rsidP="000F4C8D">
            <w:pPr>
              <w:jc w:val="center"/>
              <w:rPr>
                <w:rStyle w:val="Accentuation"/>
                <w:rFonts w:asciiTheme="minorHAnsi" w:hAnsiTheme="minorHAnsi" w:cstheme="minorHAnsi"/>
              </w:rPr>
            </w:pPr>
            <w:r w:rsidRPr="00E27DD6">
              <w:rPr>
                <w:rStyle w:val="Accentuation"/>
                <w:rFonts w:asciiTheme="minorHAnsi" w:hAnsiTheme="minorHAnsi" w:cstheme="minorHAnsi"/>
              </w:rPr>
              <w:t>0</w:t>
            </w:r>
            <w:r w:rsidR="00561F21">
              <w:rPr>
                <w:rStyle w:val="Accentuation"/>
                <w:rFonts w:asciiTheme="minorHAnsi" w:hAnsiTheme="minorHAnsi" w:cstheme="minorHAnsi"/>
              </w:rPr>
              <w:t>0</w:t>
            </w:r>
          </w:p>
        </w:tc>
      </w:tr>
    </w:tbl>
    <w:p w:rsidR="00451D75" w:rsidRDefault="00451D75" w:rsidP="00BE0A39">
      <w:pPr>
        <w:spacing w:line="276" w:lineRule="auto"/>
        <w:jc w:val="both"/>
        <w:rPr>
          <w:rStyle w:val="Accentuation"/>
          <w:rFonts w:asciiTheme="minorHAnsi" w:hAnsiTheme="minorHAnsi" w:cstheme="minorHAnsi"/>
          <w:i w:val="0"/>
        </w:rPr>
      </w:pPr>
    </w:p>
    <w:p w:rsidR="00561F21" w:rsidRPr="00561F21" w:rsidRDefault="00561F21" w:rsidP="00561F21">
      <w:pPr>
        <w:spacing w:line="276" w:lineRule="auto"/>
        <w:jc w:val="both"/>
        <w:rPr>
          <w:rStyle w:val="Accentuation"/>
          <w:i w:val="0"/>
          <w:lang w:val="fr-BE"/>
        </w:rPr>
      </w:pPr>
      <w:r w:rsidRPr="00561F21">
        <w:rPr>
          <w:rStyle w:val="Accentuation"/>
          <w:i w:val="0"/>
          <w:lang w:val="fr-BE"/>
        </w:rPr>
        <w:t xml:space="preserve">Pour ce mois de juin, le projet a produit </w:t>
      </w:r>
      <w:r w:rsidR="007B05D8">
        <w:rPr>
          <w:rStyle w:val="Accentuation"/>
          <w:i w:val="0"/>
          <w:lang w:val="fr-BE"/>
        </w:rPr>
        <w:t>2</w:t>
      </w:r>
      <w:r w:rsidRPr="00561F21">
        <w:rPr>
          <w:rStyle w:val="Accentuation"/>
          <w:i w:val="0"/>
          <w:lang w:val="fr-BE"/>
        </w:rPr>
        <w:t xml:space="preserve"> pièce</w:t>
      </w:r>
      <w:r w:rsidR="007B05D8">
        <w:rPr>
          <w:rStyle w:val="Accentuation"/>
          <w:i w:val="0"/>
          <w:lang w:val="fr-BE"/>
        </w:rPr>
        <w:t>s</w:t>
      </w:r>
      <w:r w:rsidRPr="00561F21">
        <w:rPr>
          <w:rStyle w:val="Accentuation"/>
          <w:i w:val="0"/>
          <w:lang w:val="fr-BE"/>
        </w:rPr>
        <w:t xml:space="preserve"> </w:t>
      </w:r>
      <w:r w:rsidR="007B05D8" w:rsidRPr="00561F21">
        <w:rPr>
          <w:rStyle w:val="Accentuation"/>
          <w:i w:val="0"/>
          <w:lang w:val="fr-BE"/>
        </w:rPr>
        <w:t>médiatiques</w:t>
      </w:r>
      <w:r w:rsidRPr="00561F21">
        <w:rPr>
          <w:rStyle w:val="Accentuation"/>
          <w:i w:val="0"/>
          <w:lang w:val="fr-BE"/>
        </w:rPr>
        <w:t>, publiée</w:t>
      </w:r>
      <w:r w:rsidR="00ED7187">
        <w:rPr>
          <w:rStyle w:val="Accentuation"/>
          <w:i w:val="0"/>
          <w:lang w:val="fr-BE"/>
        </w:rPr>
        <w:t>s</w:t>
      </w:r>
      <w:r w:rsidRPr="00561F21">
        <w:rPr>
          <w:rStyle w:val="Accentuation"/>
          <w:i w:val="0"/>
          <w:lang w:val="fr-BE"/>
        </w:rPr>
        <w:t xml:space="preserve"> dans la presse écrite.</w:t>
      </w:r>
    </w:p>
    <w:p w:rsidR="003914F2" w:rsidRPr="00E27DD6" w:rsidRDefault="003914F2" w:rsidP="00BE0A39">
      <w:pPr>
        <w:spacing w:line="276" w:lineRule="auto"/>
        <w:jc w:val="both"/>
        <w:rPr>
          <w:rStyle w:val="Accentuation"/>
          <w:rFonts w:asciiTheme="minorHAnsi" w:hAnsiTheme="minorHAnsi" w:cstheme="minorHAnsi"/>
          <w:i w:val="0"/>
          <w:lang w:val="fr-BE"/>
        </w:rPr>
      </w:pPr>
    </w:p>
    <w:p w:rsidR="002F3B51" w:rsidRPr="00E27DD6" w:rsidRDefault="00B3415C" w:rsidP="00BE0A39">
      <w:pPr>
        <w:spacing w:line="276" w:lineRule="auto"/>
        <w:jc w:val="both"/>
        <w:rPr>
          <w:rFonts w:asciiTheme="minorHAnsi" w:hAnsiTheme="minorHAnsi" w:cstheme="minorHAnsi"/>
          <w:iCs/>
          <w:lang w:val="fr-BE"/>
        </w:rPr>
      </w:pPr>
      <w:r w:rsidRPr="00E27DD6">
        <w:rPr>
          <w:rStyle w:val="Accentuation"/>
          <w:rFonts w:asciiTheme="minorHAnsi" w:hAnsiTheme="minorHAnsi" w:cstheme="minorHAnsi"/>
          <w:i w:val="0"/>
          <w:lang w:val="fr-BE"/>
        </w:rPr>
        <w:t>Les articles sont disponibles sur plusieurs médias et notamment sur le site Internet, la page Facebook et la chaine YouTube du projet.</w:t>
      </w:r>
    </w:p>
    <w:p w:rsidR="000B7079" w:rsidRPr="00E27DD6" w:rsidRDefault="00B3415C" w:rsidP="00BE0A39">
      <w:pPr>
        <w:spacing w:line="276" w:lineRule="auto"/>
        <w:jc w:val="both"/>
        <w:rPr>
          <w:rStyle w:val="Accentuation"/>
          <w:rFonts w:asciiTheme="minorHAnsi" w:hAnsiTheme="minorHAnsi" w:cstheme="minorHAnsi"/>
          <w:i w:val="0"/>
          <w:lang w:val="nl-BE"/>
        </w:rPr>
      </w:pPr>
      <w:r w:rsidRPr="00E27DD6">
        <w:rPr>
          <w:rStyle w:val="Accentuation"/>
          <w:rFonts w:asciiTheme="minorHAnsi" w:hAnsiTheme="minorHAnsi" w:cstheme="minorHAnsi"/>
          <w:i w:val="0"/>
          <w:lang w:val="nl-BE"/>
        </w:rPr>
        <w:t xml:space="preserve">Website: </w:t>
      </w:r>
      <w:hyperlink r:id="rId11" w:history="1">
        <w:r w:rsidRPr="00E27DD6">
          <w:rPr>
            <w:rStyle w:val="Accentuation"/>
            <w:rFonts w:asciiTheme="minorHAnsi" w:hAnsiTheme="minorHAnsi" w:cstheme="minorHAnsi"/>
            <w:i w:val="0"/>
            <w:lang w:val="nl-BE"/>
          </w:rPr>
          <w:t>http://www.conservation-justice.org/CJ/</w:t>
        </w:r>
      </w:hyperlink>
    </w:p>
    <w:p w:rsidR="000B7079" w:rsidRPr="00E27DD6" w:rsidRDefault="00B3415C" w:rsidP="000B7079">
      <w:pPr>
        <w:spacing w:line="276" w:lineRule="auto"/>
        <w:rPr>
          <w:rStyle w:val="Accentuation"/>
          <w:rFonts w:asciiTheme="minorHAnsi" w:hAnsiTheme="minorHAnsi" w:cstheme="minorHAnsi"/>
          <w:i w:val="0"/>
          <w:lang w:val="nl-BE"/>
        </w:rPr>
      </w:pPr>
      <w:r w:rsidRPr="00E27DD6">
        <w:rPr>
          <w:rStyle w:val="Accentuation"/>
          <w:rFonts w:asciiTheme="minorHAnsi" w:hAnsiTheme="minorHAnsi" w:cstheme="minorHAnsi"/>
          <w:i w:val="0"/>
          <w:lang w:val="nl-BE"/>
        </w:rPr>
        <w:t>Facebook:</w:t>
      </w:r>
      <w:hyperlink r:id="rId12" w:history="1">
        <w:r w:rsidRPr="00E27DD6">
          <w:rPr>
            <w:rStyle w:val="Lienhypertexte"/>
            <w:rFonts w:asciiTheme="minorHAnsi" w:hAnsiTheme="minorHAnsi" w:cstheme="minorHAnsi"/>
            <w:color w:val="auto"/>
            <w:lang w:val="nl-BE"/>
          </w:rPr>
          <w:t>https://www.facebook.com/Conservation-Justice-163892326976793/</w:t>
        </w:r>
      </w:hyperlink>
    </w:p>
    <w:p w:rsidR="00641E98" w:rsidRPr="00E27DD6" w:rsidRDefault="00B3415C" w:rsidP="000B7079">
      <w:pPr>
        <w:spacing w:after="240" w:line="276" w:lineRule="auto"/>
        <w:jc w:val="both"/>
        <w:rPr>
          <w:rFonts w:asciiTheme="minorHAnsi" w:hAnsiTheme="minorHAnsi" w:cstheme="minorHAnsi"/>
          <w:iCs/>
          <w:lang w:val="en-US"/>
        </w:rPr>
      </w:pPr>
      <w:r w:rsidRPr="00E27DD6">
        <w:rPr>
          <w:rStyle w:val="Accentuation"/>
          <w:rFonts w:asciiTheme="minorHAnsi" w:hAnsiTheme="minorHAnsi" w:cstheme="minorHAnsi"/>
          <w:i w:val="0"/>
          <w:lang w:val="en-US"/>
        </w:rPr>
        <w:t xml:space="preserve">YouTube: </w:t>
      </w:r>
      <w:hyperlink r:id="rId13" w:history="1">
        <w:r w:rsidRPr="00E27DD6">
          <w:rPr>
            <w:rStyle w:val="Accentuation"/>
            <w:rFonts w:asciiTheme="minorHAnsi" w:hAnsiTheme="minorHAnsi" w:cstheme="minorHAnsi"/>
            <w:i w:val="0"/>
            <w:lang w:val="en-US"/>
          </w:rPr>
          <w:t>https://www.youtube.com/user/ConservationJustice</w:t>
        </w:r>
      </w:hyperlink>
      <w:bookmarkStart w:id="6" w:name="_GoBack"/>
      <w:bookmarkEnd w:id="6"/>
    </w:p>
    <w:p w:rsidR="00306FD5" w:rsidRPr="00E27DD6" w:rsidRDefault="00306FD5" w:rsidP="0066676C">
      <w:pPr>
        <w:pStyle w:val="Titre1"/>
        <w:shd w:val="clear" w:color="auto" w:fill="000000" w:themeFill="text1"/>
        <w:jc w:val="both"/>
        <w:rPr>
          <w:rStyle w:val="Accentuation"/>
          <w:rFonts w:asciiTheme="minorHAnsi" w:hAnsiTheme="minorHAnsi" w:cstheme="minorHAnsi"/>
          <w:sz w:val="24"/>
        </w:rPr>
      </w:pPr>
      <w:bookmarkStart w:id="7" w:name="_Toc330025956"/>
      <w:bookmarkStart w:id="8" w:name="_Toc7774931"/>
      <w:r w:rsidRPr="00E27DD6">
        <w:rPr>
          <w:rStyle w:val="Accentuation"/>
          <w:rFonts w:asciiTheme="minorHAnsi" w:hAnsiTheme="minorHAnsi" w:cstheme="minorHAnsi"/>
          <w:sz w:val="24"/>
        </w:rPr>
        <w:t>Relations extérieures</w:t>
      </w:r>
      <w:bookmarkEnd w:id="7"/>
      <w:bookmarkEnd w:id="8"/>
    </w:p>
    <w:p w:rsidR="0066676C" w:rsidRPr="00E27DD6" w:rsidRDefault="0066676C" w:rsidP="0066676C">
      <w:pPr>
        <w:rPr>
          <w:rFonts w:asciiTheme="minorHAnsi" w:hAnsiTheme="minorHAnsi" w:cstheme="minorHAnsi"/>
          <w:lang w:val="fr-CH" w:bidi="he-IL"/>
        </w:rPr>
      </w:pPr>
    </w:p>
    <w:p w:rsidR="00306FD5" w:rsidRPr="00E27DD6" w:rsidRDefault="00306FD5" w:rsidP="00306FD5">
      <w:pPr>
        <w:spacing w:after="240"/>
        <w:jc w:val="both"/>
        <w:rPr>
          <w:rStyle w:val="Accentuation"/>
          <w:rFonts w:asciiTheme="minorHAnsi" w:hAnsiTheme="minorHAnsi" w:cstheme="minorHAnsi"/>
          <w:b/>
          <w:i w:val="0"/>
        </w:rPr>
      </w:pPr>
      <w:r w:rsidRPr="00E27DD6">
        <w:rPr>
          <w:rStyle w:val="Accentuation"/>
          <w:rFonts w:asciiTheme="minorHAnsi" w:hAnsiTheme="minorHAnsi" w:cstheme="minorHAnsi"/>
          <w:b/>
        </w:rPr>
        <w:t>Indicateur:</w:t>
      </w:r>
    </w:p>
    <w:tbl>
      <w:tblPr>
        <w:tblStyle w:val="Grilledetableauclaire1"/>
        <w:tblW w:w="0" w:type="auto"/>
        <w:tblLook w:val="04A0"/>
      </w:tblPr>
      <w:tblGrid>
        <w:gridCol w:w="4350"/>
        <w:gridCol w:w="4380"/>
      </w:tblGrid>
      <w:tr w:rsidR="00255C72" w:rsidRPr="00E27DD6" w:rsidTr="000B5D2B">
        <w:trPr>
          <w:trHeight w:val="323"/>
        </w:trPr>
        <w:tc>
          <w:tcPr>
            <w:tcW w:w="4350" w:type="dxa"/>
          </w:tcPr>
          <w:p w:rsidR="00306FD5" w:rsidRPr="00E27DD6" w:rsidRDefault="00306FD5" w:rsidP="000B5D2B">
            <w:pPr>
              <w:jc w:val="both"/>
              <w:rPr>
                <w:rStyle w:val="Accentuation"/>
                <w:rFonts w:asciiTheme="minorHAnsi" w:hAnsiTheme="minorHAnsi" w:cstheme="minorHAnsi"/>
              </w:rPr>
            </w:pPr>
            <w:r w:rsidRPr="00E27DD6">
              <w:rPr>
                <w:rStyle w:val="Accentuation"/>
                <w:rFonts w:asciiTheme="minorHAnsi" w:hAnsiTheme="minorHAnsi" w:cstheme="minorHAnsi"/>
              </w:rPr>
              <w:t>Nombre de rencontres</w:t>
            </w:r>
          </w:p>
        </w:tc>
        <w:tc>
          <w:tcPr>
            <w:tcW w:w="4380" w:type="dxa"/>
          </w:tcPr>
          <w:p w:rsidR="00306FD5" w:rsidRPr="00E27DD6" w:rsidRDefault="00940D1F" w:rsidP="000B5D2B">
            <w:pPr>
              <w:jc w:val="center"/>
              <w:rPr>
                <w:rStyle w:val="Accentuation"/>
                <w:rFonts w:asciiTheme="minorHAnsi" w:hAnsiTheme="minorHAnsi" w:cstheme="minorHAnsi"/>
              </w:rPr>
            </w:pPr>
            <w:r>
              <w:rPr>
                <w:rStyle w:val="Accentuation"/>
                <w:rFonts w:asciiTheme="minorHAnsi" w:hAnsiTheme="minorHAnsi" w:cstheme="minorHAnsi"/>
              </w:rPr>
              <w:t>35</w:t>
            </w:r>
          </w:p>
        </w:tc>
      </w:tr>
      <w:tr w:rsidR="00255C72" w:rsidRPr="00E27DD6" w:rsidTr="000B5D2B">
        <w:trPr>
          <w:trHeight w:val="323"/>
        </w:trPr>
        <w:tc>
          <w:tcPr>
            <w:tcW w:w="4350" w:type="dxa"/>
          </w:tcPr>
          <w:p w:rsidR="00306FD5" w:rsidRPr="00E27DD6" w:rsidRDefault="00306FD5" w:rsidP="000B5D2B">
            <w:pPr>
              <w:jc w:val="both"/>
              <w:rPr>
                <w:rStyle w:val="Accentuation"/>
                <w:rFonts w:asciiTheme="minorHAnsi" w:hAnsiTheme="minorHAnsi" w:cstheme="minorHAnsi"/>
                <w:i w:val="0"/>
              </w:rPr>
            </w:pPr>
            <w:r w:rsidRPr="00E27DD6">
              <w:rPr>
                <w:rStyle w:val="Accentuation"/>
                <w:rFonts w:asciiTheme="minorHAnsi" w:hAnsiTheme="minorHAnsi" w:cstheme="minorHAnsi"/>
              </w:rPr>
              <w:t>Suivi de l’accord de collaboration</w:t>
            </w:r>
            <w:r w:rsidRPr="00E27DD6">
              <w:rPr>
                <w:rStyle w:val="Accentuation"/>
                <w:rFonts w:asciiTheme="minorHAnsi" w:hAnsiTheme="minorHAnsi" w:cstheme="minorHAnsi"/>
              </w:rPr>
              <w:tab/>
            </w:r>
          </w:p>
        </w:tc>
        <w:tc>
          <w:tcPr>
            <w:tcW w:w="4380" w:type="dxa"/>
          </w:tcPr>
          <w:p w:rsidR="00306FD5" w:rsidRPr="00E27DD6" w:rsidRDefault="00940D1F" w:rsidP="000B5D2B">
            <w:pPr>
              <w:jc w:val="center"/>
              <w:rPr>
                <w:rStyle w:val="Accentuation"/>
                <w:rFonts w:asciiTheme="minorHAnsi" w:hAnsiTheme="minorHAnsi" w:cstheme="minorHAnsi"/>
                <w:i w:val="0"/>
              </w:rPr>
            </w:pPr>
            <w:r>
              <w:rPr>
                <w:rStyle w:val="Accentuation"/>
                <w:rFonts w:asciiTheme="minorHAnsi" w:hAnsiTheme="minorHAnsi" w:cstheme="minorHAnsi"/>
              </w:rPr>
              <w:t>20</w:t>
            </w:r>
          </w:p>
        </w:tc>
      </w:tr>
      <w:tr w:rsidR="00306FD5" w:rsidRPr="00E27DD6" w:rsidTr="000B5D2B">
        <w:trPr>
          <w:trHeight w:val="297"/>
        </w:trPr>
        <w:tc>
          <w:tcPr>
            <w:tcW w:w="4350" w:type="dxa"/>
            <w:vAlign w:val="center"/>
          </w:tcPr>
          <w:p w:rsidR="00306FD5" w:rsidRPr="00E27DD6" w:rsidRDefault="00306FD5" w:rsidP="000B5D2B">
            <w:pPr>
              <w:rPr>
                <w:rStyle w:val="Accentuation"/>
                <w:rFonts w:asciiTheme="minorHAnsi" w:hAnsiTheme="minorHAnsi" w:cstheme="minorHAnsi"/>
                <w:i w:val="0"/>
              </w:rPr>
            </w:pPr>
            <w:r w:rsidRPr="00E27DD6">
              <w:rPr>
                <w:rStyle w:val="Accentuation"/>
                <w:rFonts w:asciiTheme="minorHAnsi" w:hAnsiTheme="minorHAnsi" w:cstheme="minorHAnsi"/>
              </w:rPr>
              <w:t>Collaboration sur affaires</w:t>
            </w:r>
          </w:p>
        </w:tc>
        <w:tc>
          <w:tcPr>
            <w:tcW w:w="4380" w:type="dxa"/>
            <w:vAlign w:val="center"/>
          </w:tcPr>
          <w:p w:rsidR="00306FD5" w:rsidRPr="00E27DD6" w:rsidRDefault="00940D1F" w:rsidP="000B5D2B">
            <w:pPr>
              <w:jc w:val="center"/>
              <w:rPr>
                <w:rStyle w:val="Accentuation"/>
                <w:rFonts w:asciiTheme="minorHAnsi" w:hAnsiTheme="minorHAnsi" w:cstheme="minorHAnsi"/>
                <w:i w:val="0"/>
              </w:rPr>
            </w:pPr>
            <w:r>
              <w:rPr>
                <w:rStyle w:val="Accentuation"/>
                <w:rFonts w:asciiTheme="minorHAnsi" w:hAnsiTheme="minorHAnsi" w:cstheme="minorHAnsi"/>
              </w:rPr>
              <w:t>15</w:t>
            </w:r>
          </w:p>
        </w:tc>
      </w:tr>
    </w:tbl>
    <w:p w:rsidR="00940D1F" w:rsidRDefault="00940D1F" w:rsidP="00940D1F">
      <w:pPr>
        <w:jc w:val="both"/>
      </w:pPr>
    </w:p>
    <w:p w:rsidR="00940D1F" w:rsidRDefault="00940D1F" w:rsidP="00940D1F">
      <w:pPr>
        <w:jc w:val="both"/>
      </w:pPr>
      <w:r w:rsidRPr="00683CFB">
        <w:t>Les juristes du projet ont  rencontré et échangé au téléphone pour le renforcement de la collaboration ainsi que le suivi des audiences avec les autorités administratives et judiciaires. Ce fut donc le cas avec le directeur de la lutte anti-braconnage, le directeur général de la faune et des aires protégées</w:t>
      </w:r>
      <w:r w:rsidR="00C862E4">
        <w:t xml:space="preserve"> (DGFAP)</w:t>
      </w:r>
      <w:r w:rsidRPr="00683CFB">
        <w:t>, l’avocat, les procureurs, directeur provincial des eaux et forêts de l’Estuaire, commandant de la police judiciaire ;</w:t>
      </w:r>
    </w:p>
    <w:p w:rsidR="00940D1F" w:rsidRPr="00683CFB" w:rsidRDefault="00940D1F" w:rsidP="00940D1F">
      <w:pPr>
        <w:jc w:val="both"/>
      </w:pPr>
    </w:p>
    <w:p w:rsidR="00940D1F" w:rsidRDefault="00940D1F" w:rsidP="00940D1F">
      <w:pPr>
        <w:jc w:val="both"/>
      </w:pPr>
      <w:r w:rsidRPr="00683CFB">
        <w:t xml:space="preserve">Le Coordonnateur des activités a rencontré et discuté avec le Secrétaire Exécutif de l’Agence National des Parcs nationaux, le Conseiller du ministre en charge du Service Ecosystémiques et Objectifs de Développement Durable, le Directeurs général de l’Agence d’exécution de la filière forêt/bois et le Directeur en charge de la Gestion de la faune et de la chasse. </w:t>
      </w:r>
    </w:p>
    <w:p w:rsidR="00940D1F" w:rsidRDefault="00940D1F" w:rsidP="00940D1F">
      <w:pPr>
        <w:jc w:val="both"/>
      </w:pPr>
    </w:p>
    <w:p w:rsidR="00FA25D9" w:rsidRPr="009E7E0C" w:rsidRDefault="00940D1F" w:rsidP="00FA25D9">
      <w:pPr>
        <w:jc w:val="both"/>
        <w:rPr>
          <w:iCs/>
          <w:lang w:val="fr-BE"/>
        </w:rPr>
      </w:pPr>
      <w:r w:rsidRPr="009E7E0C">
        <w:rPr>
          <w:rStyle w:val="Accentuation"/>
          <w:i w:val="0"/>
          <w:lang w:val="fr-BE"/>
        </w:rPr>
        <w:t>La plu</w:t>
      </w:r>
      <w:r w:rsidR="00ED7187">
        <w:rPr>
          <w:rStyle w:val="Accentuation"/>
          <w:i w:val="0"/>
          <w:lang w:val="fr-BE"/>
        </w:rPr>
        <w:t>s</w:t>
      </w:r>
      <w:r w:rsidRPr="009E7E0C">
        <w:rPr>
          <w:rStyle w:val="Accentuation"/>
          <w:i w:val="0"/>
          <w:lang w:val="fr-BE"/>
        </w:rPr>
        <w:t xml:space="preserve"> marquante de ces rencontres est celle avec le DGFAP. Il s’agit d’une concertation avec ce dernier afin de programmer une mission de lancement officiel des activités de </w:t>
      </w:r>
      <w:r w:rsidR="00FA25D9" w:rsidRPr="009E7E0C">
        <w:rPr>
          <w:rStyle w:val="Accentuation"/>
          <w:i w:val="0"/>
          <w:lang w:val="fr-BE"/>
        </w:rPr>
        <w:t xml:space="preserve"> </w:t>
      </w:r>
      <w:r w:rsidR="00FA25D9" w:rsidRPr="009E7E0C">
        <w:rPr>
          <w:rFonts w:cstheme="minorHAnsi"/>
        </w:rPr>
        <w:t xml:space="preserve">la brigade de l’Unité de Lutte Anti-Braconnage </w:t>
      </w:r>
      <w:r w:rsidRPr="009E7E0C">
        <w:rPr>
          <w:rStyle w:val="Accentuation"/>
          <w:i w:val="0"/>
          <w:lang w:val="fr-BE"/>
        </w:rPr>
        <w:t>nouvellement créée</w:t>
      </w:r>
      <w:r w:rsidR="00FA25D9" w:rsidRPr="009E7E0C">
        <w:rPr>
          <w:rFonts w:cstheme="minorHAnsi"/>
        </w:rPr>
        <w:t xml:space="preserve"> dans la province de l'Ogooué Lolo au sein du département de Mulundu, plus précisément dans la zone de regroupement de villages Milolé par Lastourville</w:t>
      </w:r>
      <w:r w:rsidR="00E82C21" w:rsidRPr="009E7E0C">
        <w:rPr>
          <w:rFonts w:cstheme="minorHAnsi"/>
        </w:rPr>
        <w:t xml:space="preserve"> </w:t>
      </w:r>
      <w:r w:rsidR="009E7E0C" w:rsidRPr="009E7E0C">
        <w:rPr>
          <w:rFonts w:cstheme="minorHAnsi"/>
        </w:rPr>
        <w:t xml:space="preserve">et </w:t>
      </w:r>
      <w:r w:rsidR="00E82C21" w:rsidRPr="009E7E0C">
        <w:rPr>
          <w:rFonts w:cstheme="minorHAnsi"/>
        </w:rPr>
        <w:t xml:space="preserve">proche de la concession </w:t>
      </w:r>
      <w:r w:rsidR="009E7E0C" w:rsidRPr="009E7E0C">
        <w:rPr>
          <w:rFonts w:cstheme="minorHAnsi"/>
        </w:rPr>
        <w:t>forestière</w:t>
      </w:r>
      <w:r w:rsidR="00E82C21" w:rsidRPr="009E7E0C">
        <w:rPr>
          <w:rFonts w:cstheme="minorHAnsi"/>
        </w:rPr>
        <w:t xml:space="preserve"> de la Societe Precious Woods-CEB dont une partie de sa CFAD est située en périphérie Sud du Parc National de l’Ivindo</w:t>
      </w:r>
      <w:r w:rsidR="008D06AD" w:rsidRPr="009E7E0C">
        <w:rPr>
          <w:rFonts w:cstheme="minorHAnsi"/>
        </w:rPr>
        <w:t>.</w:t>
      </w:r>
    </w:p>
    <w:p w:rsidR="00605C76" w:rsidRPr="00FA25D9" w:rsidRDefault="00605C76" w:rsidP="00940D1F">
      <w:pPr>
        <w:jc w:val="both"/>
        <w:rPr>
          <w:rStyle w:val="Accentuation"/>
          <w:i w:val="0"/>
          <w:color w:val="FF0000"/>
        </w:rPr>
      </w:pPr>
    </w:p>
    <w:p w:rsidR="00605C76" w:rsidRPr="00605C76" w:rsidRDefault="00605C76" w:rsidP="00605C76">
      <w:pPr>
        <w:jc w:val="both"/>
        <w:rPr>
          <w:lang w:val="fr-BE"/>
        </w:rPr>
      </w:pPr>
      <w:r w:rsidRPr="00605C76">
        <w:rPr>
          <w:lang w:val="fr-BE"/>
        </w:rPr>
        <w:t>Au total, au moins trente cinq (35) rencontres avec différentes autorités administratives et judiciaires ont eu lieu.</w:t>
      </w:r>
    </w:p>
    <w:p w:rsidR="00605C76" w:rsidRDefault="00605C76" w:rsidP="00940D1F">
      <w:pPr>
        <w:jc w:val="both"/>
        <w:rPr>
          <w:rStyle w:val="Accentuation"/>
          <w:i w:val="0"/>
          <w:color w:val="FF0000"/>
          <w:lang w:val="fr-BE"/>
        </w:rPr>
      </w:pPr>
    </w:p>
    <w:p w:rsidR="008D06AD" w:rsidRDefault="008D06AD" w:rsidP="00940D1F">
      <w:pPr>
        <w:jc w:val="both"/>
        <w:rPr>
          <w:rStyle w:val="Accentuation"/>
          <w:i w:val="0"/>
          <w:color w:val="FF0000"/>
          <w:lang w:val="fr-BE"/>
        </w:rPr>
      </w:pPr>
    </w:p>
    <w:p w:rsidR="008D06AD" w:rsidRDefault="008D06AD" w:rsidP="00940D1F">
      <w:pPr>
        <w:jc w:val="both"/>
        <w:rPr>
          <w:rStyle w:val="Accentuation"/>
          <w:i w:val="0"/>
          <w:color w:val="FF0000"/>
          <w:lang w:val="fr-BE"/>
        </w:rPr>
      </w:pPr>
    </w:p>
    <w:p w:rsidR="009B4FE5" w:rsidRDefault="009B4FE5" w:rsidP="00940D1F">
      <w:pPr>
        <w:jc w:val="both"/>
        <w:rPr>
          <w:rStyle w:val="Accentuation"/>
          <w:i w:val="0"/>
          <w:color w:val="FF0000"/>
          <w:lang w:val="fr-BE"/>
        </w:rPr>
      </w:pPr>
    </w:p>
    <w:p w:rsidR="009B4FE5" w:rsidRDefault="009B4FE5" w:rsidP="00940D1F">
      <w:pPr>
        <w:jc w:val="both"/>
        <w:rPr>
          <w:rStyle w:val="Accentuation"/>
          <w:i w:val="0"/>
          <w:color w:val="FF0000"/>
          <w:lang w:val="fr-BE"/>
        </w:rPr>
      </w:pPr>
    </w:p>
    <w:p w:rsidR="009B4FE5" w:rsidRDefault="009B4FE5" w:rsidP="00940D1F">
      <w:pPr>
        <w:jc w:val="both"/>
        <w:rPr>
          <w:rStyle w:val="Accentuation"/>
          <w:i w:val="0"/>
          <w:color w:val="FF0000"/>
          <w:lang w:val="fr-BE"/>
        </w:rPr>
      </w:pPr>
    </w:p>
    <w:p w:rsidR="009B4FE5" w:rsidRDefault="009B4FE5" w:rsidP="00940D1F">
      <w:pPr>
        <w:jc w:val="both"/>
        <w:rPr>
          <w:rStyle w:val="Accentuation"/>
          <w:i w:val="0"/>
          <w:color w:val="FF0000"/>
          <w:lang w:val="fr-BE"/>
        </w:rPr>
      </w:pPr>
    </w:p>
    <w:p w:rsidR="008D06AD" w:rsidRPr="00940D1F" w:rsidRDefault="008D06AD" w:rsidP="00940D1F">
      <w:pPr>
        <w:jc w:val="both"/>
        <w:rPr>
          <w:rStyle w:val="Accentuation"/>
          <w:i w:val="0"/>
          <w:color w:val="FF0000"/>
          <w:lang w:val="fr-BE"/>
        </w:rPr>
      </w:pPr>
    </w:p>
    <w:p w:rsidR="00CC5A87" w:rsidRPr="00E27DD6" w:rsidRDefault="00CC5A87" w:rsidP="000B7079">
      <w:pPr>
        <w:jc w:val="both"/>
        <w:rPr>
          <w:rStyle w:val="Accentuation"/>
          <w:rFonts w:asciiTheme="minorHAnsi" w:hAnsiTheme="minorHAnsi" w:cstheme="minorHAnsi"/>
          <w:i w:val="0"/>
        </w:rPr>
      </w:pPr>
    </w:p>
    <w:p w:rsidR="009A3358" w:rsidRPr="00E27DD6" w:rsidRDefault="000B7079" w:rsidP="00741202">
      <w:pPr>
        <w:pStyle w:val="Titre1"/>
        <w:shd w:val="clear" w:color="auto" w:fill="000000" w:themeFill="text1"/>
        <w:jc w:val="both"/>
        <w:rPr>
          <w:rStyle w:val="Accentuation"/>
          <w:rFonts w:asciiTheme="minorHAnsi" w:hAnsiTheme="minorHAnsi" w:cstheme="minorHAnsi"/>
          <w:sz w:val="24"/>
        </w:rPr>
      </w:pPr>
      <w:bookmarkStart w:id="9" w:name="_Toc7774932"/>
      <w:r w:rsidRPr="00E27DD6">
        <w:rPr>
          <w:rStyle w:val="Accentuation"/>
          <w:rFonts w:asciiTheme="minorHAnsi" w:hAnsiTheme="minorHAnsi" w:cstheme="minorHAnsi"/>
          <w:sz w:val="24"/>
        </w:rPr>
        <w:lastRenderedPageBreak/>
        <w:t>Conclusion</w:t>
      </w:r>
      <w:bookmarkEnd w:id="9"/>
    </w:p>
    <w:p w:rsidR="0082265D" w:rsidRDefault="0082265D" w:rsidP="0082265D">
      <w:pPr>
        <w:jc w:val="both"/>
        <w:rPr>
          <w:rFonts w:ascii="Bookman Old Style" w:hAnsi="Bookman Old Style"/>
          <w:sz w:val="22"/>
          <w:szCs w:val="22"/>
        </w:rPr>
      </w:pPr>
    </w:p>
    <w:p w:rsidR="0082265D" w:rsidRPr="002320C9" w:rsidRDefault="0082265D" w:rsidP="0082265D">
      <w:pPr>
        <w:jc w:val="both"/>
      </w:pPr>
      <w:r w:rsidRPr="002320C9">
        <w:t xml:space="preserve">Les mesures de confinement ayant limité les mouvements, en ce mois de juin 2020, il n’y a pas eu d’opération mais plusieurs audiences aussi bien de délibéré que de plaidoirie pour la province de l’Estuaire. </w:t>
      </w:r>
    </w:p>
    <w:p w:rsidR="0082265D" w:rsidRPr="002320C9" w:rsidRDefault="0082265D" w:rsidP="0082265D">
      <w:pPr>
        <w:jc w:val="both"/>
      </w:pPr>
    </w:p>
    <w:p w:rsidR="002320C9" w:rsidRPr="002320C9" w:rsidRDefault="0082265D" w:rsidP="0082265D">
      <w:pPr>
        <w:jc w:val="both"/>
      </w:pPr>
      <w:r w:rsidRPr="002320C9">
        <w:t>Ainsi, outre les rencontres effectuées auprès de certaines autorités, il y a eu 3 jours consacrés aux audiences de s</w:t>
      </w:r>
      <w:r w:rsidR="00EA160B" w:rsidRPr="002320C9">
        <w:t>ix (06</w:t>
      </w:r>
      <w:r w:rsidR="002320C9" w:rsidRPr="002320C9">
        <w:t>) affaires impliquant neuf (09</w:t>
      </w:r>
      <w:r w:rsidRPr="002320C9">
        <w:t>)</w:t>
      </w:r>
      <w:r w:rsidR="002320C9" w:rsidRPr="002320C9">
        <w:t xml:space="preserve"> trafiquants d’ivoire</w:t>
      </w:r>
      <w:r w:rsidRPr="002320C9">
        <w:t xml:space="preserve"> </w:t>
      </w:r>
    </w:p>
    <w:p w:rsidR="0082265D" w:rsidRPr="002320C9" w:rsidRDefault="0082265D" w:rsidP="0082265D">
      <w:pPr>
        <w:jc w:val="both"/>
      </w:pPr>
    </w:p>
    <w:p w:rsidR="0082265D" w:rsidRPr="0082265D" w:rsidRDefault="0082265D" w:rsidP="0082265D">
      <w:pPr>
        <w:jc w:val="both"/>
      </w:pPr>
      <w:r w:rsidRPr="002320C9">
        <w:t>La plus forte peine d’emprisonnement est de trois (03) ans et la plus faible un (01) alors que certains condamnés devront payer les amendes pénales allant jusqu’à 12 500 000 F CFA et au moins un million pour dédommager l’Etat.</w:t>
      </w:r>
    </w:p>
    <w:p w:rsidR="0082265D" w:rsidRPr="008B4B27" w:rsidRDefault="0082265D" w:rsidP="0082265D">
      <w:pPr>
        <w:jc w:val="both"/>
        <w:rPr>
          <w:rFonts w:ascii="Bookman Old Style" w:hAnsi="Bookman Old Style"/>
        </w:rPr>
      </w:pPr>
    </w:p>
    <w:p w:rsidR="0082265D" w:rsidRPr="008B4B27" w:rsidRDefault="0082265D" w:rsidP="0082265D">
      <w:pPr>
        <w:jc w:val="both"/>
        <w:rPr>
          <w:rFonts w:ascii="Bookman Old Style" w:hAnsi="Bookman Old Style"/>
          <w:color w:val="FF0000"/>
        </w:rPr>
      </w:pPr>
    </w:p>
    <w:p w:rsidR="00600B7D" w:rsidRPr="0082265D" w:rsidRDefault="00600B7D" w:rsidP="00A6701A">
      <w:pPr>
        <w:spacing w:after="240" w:line="276" w:lineRule="auto"/>
        <w:jc w:val="both"/>
        <w:rPr>
          <w:rFonts w:asciiTheme="minorHAnsi" w:hAnsiTheme="minorHAnsi" w:cstheme="minorHAnsi"/>
          <w:sz w:val="22"/>
          <w:szCs w:val="22"/>
        </w:rPr>
      </w:pPr>
    </w:p>
    <w:sectPr w:rsidR="00600B7D" w:rsidRPr="0082265D"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9C" w:rsidRDefault="0046619C" w:rsidP="00BE7B64">
      <w:r>
        <w:separator/>
      </w:r>
    </w:p>
  </w:endnote>
  <w:endnote w:type="continuationSeparator" w:id="1">
    <w:p w:rsidR="0046619C" w:rsidRDefault="0046619C"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9C" w:rsidRDefault="0046619C" w:rsidP="00BE7B64">
      <w:r>
        <w:separator/>
      </w:r>
    </w:p>
  </w:footnote>
  <w:footnote w:type="continuationSeparator" w:id="1">
    <w:p w:rsidR="0046619C" w:rsidRDefault="0046619C"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4"/>
  </w:num>
  <w:num w:numId="3">
    <w:abstractNumId w:val="16"/>
  </w:num>
  <w:num w:numId="4">
    <w:abstractNumId w:val="20"/>
  </w:num>
  <w:num w:numId="5">
    <w:abstractNumId w:val="0"/>
  </w:num>
  <w:num w:numId="6">
    <w:abstractNumId w:val="7"/>
  </w:num>
  <w:num w:numId="7">
    <w:abstractNumId w:val="1"/>
  </w:num>
  <w:num w:numId="8">
    <w:abstractNumId w:val="8"/>
  </w:num>
  <w:num w:numId="9">
    <w:abstractNumId w:val="12"/>
  </w:num>
  <w:num w:numId="10">
    <w:abstractNumId w:val="13"/>
  </w:num>
  <w:num w:numId="11">
    <w:abstractNumId w:val="2"/>
  </w:num>
  <w:num w:numId="12">
    <w:abstractNumId w:val="11"/>
  </w:num>
  <w:num w:numId="13">
    <w:abstractNumId w:val="9"/>
  </w:num>
  <w:num w:numId="14">
    <w:abstractNumId w:val="3"/>
  </w:num>
  <w:num w:numId="15">
    <w:abstractNumId w:val="6"/>
  </w:num>
  <w:num w:numId="16">
    <w:abstractNumId w:val="18"/>
  </w:num>
  <w:num w:numId="17">
    <w:abstractNumId w:val="17"/>
  </w:num>
  <w:num w:numId="18">
    <w:abstractNumId w:val="15"/>
  </w:num>
  <w:num w:numId="19">
    <w:abstractNumId w:val="5"/>
  </w:num>
  <w:num w:numId="20">
    <w:abstractNumId w:val="19"/>
  </w:num>
  <w:num w:numId="21">
    <w:abstractNumId w:val="2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17314"/>
    <w:rsid w:val="0002017E"/>
    <w:rsid w:val="000204A3"/>
    <w:rsid w:val="00027602"/>
    <w:rsid w:val="00027D7E"/>
    <w:rsid w:val="00036A7A"/>
    <w:rsid w:val="00041B60"/>
    <w:rsid w:val="000479FD"/>
    <w:rsid w:val="000524FD"/>
    <w:rsid w:val="00055C1C"/>
    <w:rsid w:val="0005616F"/>
    <w:rsid w:val="00066400"/>
    <w:rsid w:val="00067DFF"/>
    <w:rsid w:val="000740A3"/>
    <w:rsid w:val="0007711E"/>
    <w:rsid w:val="000A192C"/>
    <w:rsid w:val="000B7079"/>
    <w:rsid w:val="000C1C78"/>
    <w:rsid w:val="000C5488"/>
    <w:rsid w:val="000C6609"/>
    <w:rsid w:val="000C6C16"/>
    <w:rsid w:val="000D1D3A"/>
    <w:rsid w:val="000E2E5B"/>
    <w:rsid w:val="000E3F54"/>
    <w:rsid w:val="000E426B"/>
    <w:rsid w:val="000E56C6"/>
    <w:rsid w:val="000F4C8D"/>
    <w:rsid w:val="000F5605"/>
    <w:rsid w:val="000F606B"/>
    <w:rsid w:val="000F7A74"/>
    <w:rsid w:val="00121E95"/>
    <w:rsid w:val="001277C3"/>
    <w:rsid w:val="001375E9"/>
    <w:rsid w:val="00141AC9"/>
    <w:rsid w:val="0014652F"/>
    <w:rsid w:val="00156EE8"/>
    <w:rsid w:val="0017006B"/>
    <w:rsid w:val="00171351"/>
    <w:rsid w:val="00172C70"/>
    <w:rsid w:val="0017506C"/>
    <w:rsid w:val="00180BC4"/>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7AF5"/>
    <w:rsid w:val="002320C9"/>
    <w:rsid w:val="002428D2"/>
    <w:rsid w:val="00242D24"/>
    <w:rsid w:val="00244986"/>
    <w:rsid w:val="00255C72"/>
    <w:rsid w:val="002739FC"/>
    <w:rsid w:val="00275028"/>
    <w:rsid w:val="00281C3C"/>
    <w:rsid w:val="00286E67"/>
    <w:rsid w:val="002935AD"/>
    <w:rsid w:val="00295C1F"/>
    <w:rsid w:val="00296889"/>
    <w:rsid w:val="002A253A"/>
    <w:rsid w:val="002A2E94"/>
    <w:rsid w:val="002A38F6"/>
    <w:rsid w:val="002A4C17"/>
    <w:rsid w:val="002A6F06"/>
    <w:rsid w:val="002B16EF"/>
    <w:rsid w:val="002B207B"/>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14F2"/>
    <w:rsid w:val="00397671"/>
    <w:rsid w:val="00397A2C"/>
    <w:rsid w:val="003A54A7"/>
    <w:rsid w:val="003A5AF5"/>
    <w:rsid w:val="003B71D1"/>
    <w:rsid w:val="003C7F0D"/>
    <w:rsid w:val="003D5908"/>
    <w:rsid w:val="003E2B43"/>
    <w:rsid w:val="003E5A95"/>
    <w:rsid w:val="003F1FD9"/>
    <w:rsid w:val="003F2268"/>
    <w:rsid w:val="003F45AA"/>
    <w:rsid w:val="004057AE"/>
    <w:rsid w:val="00405D2D"/>
    <w:rsid w:val="004238F6"/>
    <w:rsid w:val="00424090"/>
    <w:rsid w:val="00446DCC"/>
    <w:rsid w:val="00451D75"/>
    <w:rsid w:val="00454F58"/>
    <w:rsid w:val="004564E1"/>
    <w:rsid w:val="004572DD"/>
    <w:rsid w:val="004645A5"/>
    <w:rsid w:val="0046619C"/>
    <w:rsid w:val="00472BF4"/>
    <w:rsid w:val="00473EE5"/>
    <w:rsid w:val="00485C4D"/>
    <w:rsid w:val="004915E7"/>
    <w:rsid w:val="004922E6"/>
    <w:rsid w:val="00492FBD"/>
    <w:rsid w:val="0049357B"/>
    <w:rsid w:val="00494ABD"/>
    <w:rsid w:val="004960F9"/>
    <w:rsid w:val="004A0A7F"/>
    <w:rsid w:val="004A116C"/>
    <w:rsid w:val="004A2F7B"/>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5043C8"/>
    <w:rsid w:val="005067CB"/>
    <w:rsid w:val="00511E73"/>
    <w:rsid w:val="00517ABF"/>
    <w:rsid w:val="00522932"/>
    <w:rsid w:val="00525E53"/>
    <w:rsid w:val="00535B95"/>
    <w:rsid w:val="005370FF"/>
    <w:rsid w:val="005464D6"/>
    <w:rsid w:val="00550AC9"/>
    <w:rsid w:val="005530E0"/>
    <w:rsid w:val="005568EA"/>
    <w:rsid w:val="00561F21"/>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5C76"/>
    <w:rsid w:val="00607DFB"/>
    <w:rsid w:val="00612817"/>
    <w:rsid w:val="00617504"/>
    <w:rsid w:val="00617F89"/>
    <w:rsid w:val="006225A8"/>
    <w:rsid w:val="00626FD8"/>
    <w:rsid w:val="00633329"/>
    <w:rsid w:val="00635824"/>
    <w:rsid w:val="00641E98"/>
    <w:rsid w:val="00642C48"/>
    <w:rsid w:val="00644322"/>
    <w:rsid w:val="0064701D"/>
    <w:rsid w:val="00650C84"/>
    <w:rsid w:val="006543C2"/>
    <w:rsid w:val="00664C88"/>
    <w:rsid w:val="00664F8D"/>
    <w:rsid w:val="0066676C"/>
    <w:rsid w:val="00667C1B"/>
    <w:rsid w:val="00670CAE"/>
    <w:rsid w:val="00671B32"/>
    <w:rsid w:val="0067238C"/>
    <w:rsid w:val="006756DC"/>
    <w:rsid w:val="0067613E"/>
    <w:rsid w:val="0068221D"/>
    <w:rsid w:val="006828DC"/>
    <w:rsid w:val="0068650F"/>
    <w:rsid w:val="00691DDC"/>
    <w:rsid w:val="006A3A1B"/>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4CA"/>
    <w:rsid w:val="007331CF"/>
    <w:rsid w:val="00733E47"/>
    <w:rsid w:val="00734C4D"/>
    <w:rsid w:val="0074033D"/>
    <w:rsid w:val="00741202"/>
    <w:rsid w:val="0074663C"/>
    <w:rsid w:val="007510DA"/>
    <w:rsid w:val="00752683"/>
    <w:rsid w:val="00761A29"/>
    <w:rsid w:val="00766559"/>
    <w:rsid w:val="00776332"/>
    <w:rsid w:val="00782EA3"/>
    <w:rsid w:val="00796E10"/>
    <w:rsid w:val="007A53F7"/>
    <w:rsid w:val="007B0270"/>
    <w:rsid w:val="007B05D8"/>
    <w:rsid w:val="007B2213"/>
    <w:rsid w:val="007B4BE6"/>
    <w:rsid w:val="007C4C70"/>
    <w:rsid w:val="007F47A5"/>
    <w:rsid w:val="007F5CCD"/>
    <w:rsid w:val="00803446"/>
    <w:rsid w:val="00805115"/>
    <w:rsid w:val="00813961"/>
    <w:rsid w:val="008169FA"/>
    <w:rsid w:val="00817EED"/>
    <w:rsid w:val="0082165E"/>
    <w:rsid w:val="0082265D"/>
    <w:rsid w:val="008342CE"/>
    <w:rsid w:val="0084013A"/>
    <w:rsid w:val="00843603"/>
    <w:rsid w:val="00855E3D"/>
    <w:rsid w:val="00863178"/>
    <w:rsid w:val="0086799F"/>
    <w:rsid w:val="008740CD"/>
    <w:rsid w:val="00874C07"/>
    <w:rsid w:val="00874CA6"/>
    <w:rsid w:val="00875F70"/>
    <w:rsid w:val="00877CAE"/>
    <w:rsid w:val="00877E09"/>
    <w:rsid w:val="0089023F"/>
    <w:rsid w:val="00890961"/>
    <w:rsid w:val="00891A7B"/>
    <w:rsid w:val="00893459"/>
    <w:rsid w:val="008B0B96"/>
    <w:rsid w:val="008B2280"/>
    <w:rsid w:val="008B5F1F"/>
    <w:rsid w:val="008B797E"/>
    <w:rsid w:val="008C0B6C"/>
    <w:rsid w:val="008C1D86"/>
    <w:rsid w:val="008C7CD5"/>
    <w:rsid w:val="008D06AD"/>
    <w:rsid w:val="008D276B"/>
    <w:rsid w:val="008D3BCC"/>
    <w:rsid w:val="008D53B2"/>
    <w:rsid w:val="008D7761"/>
    <w:rsid w:val="008E76A8"/>
    <w:rsid w:val="0090204E"/>
    <w:rsid w:val="0090671C"/>
    <w:rsid w:val="009110EF"/>
    <w:rsid w:val="00914D96"/>
    <w:rsid w:val="009216E9"/>
    <w:rsid w:val="009225F7"/>
    <w:rsid w:val="009258E0"/>
    <w:rsid w:val="009270B8"/>
    <w:rsid w:val="00940D1F"/>
    <w:rsid w:val="009411D6"/>
    <w:rsid w:val="00957328"/>
    <w:rsid w:val="00965735"/>
    <w:rsid w:val="009659D4"/>
    <w:rsid w:val="00965C4E"/>
    <w:rsid w:val="009745A8"/>
    <w:rsid w:val="00976717"/>
    <w:rsid w:val="00976E24"/>
    <w:rsid w:val="00983162"/>
    <w:rsid w:val="0098790B"/>
    <w:rsid w:val="00990861"/>
    <w:rsid w:val="009961B5"/>
    <w:rsid w:val="009A3358"/>
    <w:rsid w:val="009A3565"/>
    <w:rsid w:val="009A470C"/>
    <w:rsid w:val="009A691C"/>
    <w:rsid w:val="009A6DB3"/>
    <w:rsid w:val="009B0A9A"/>
    <w:rsid w:val="009B3C3D"/>
    <w:rsid w:val="009B4CE4"/>
    <w:rsid w:val="009B4FE5"/>
    <w:rsid w:val="009D07C3"/>
    <w:rsid w:val="009D3E0C"/>
    <w:rsid w:val="009D5742"/>
    <w:rsid w:val="009E066B"/>
    <w:rsid w:val="009E60B4"/>
    <w:rsid w:val="009E7E0C"/>
    <w:rsid w:val="009F4DE7"/>
    <w:rsid w:val="009F5BD1"/>
    <w:rsid w:val="00A026DA"/>
    <w:rsid w:val="00A02BC9"/>
    <w:rsid w:val="00A036EB"/>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684C"/>
    <w:rsid w:val="00A57371"/>
    <w:rsid w:val="00A61D72"/>
    <w:rsid w:val="00A63DCF"/>
    <w:rsid w:val="00A6701A"/>
    <w:rsid w:val="00A6727D"/>
    <w:rsid w:val="00A7039A"/>
    <w:rsid w:val="00A762D5"/>
    <w:rsid w:val="00A82C93"/>
    <w:rsid w:val="00A83799"/>
    <w:rsid w:val="00A90F5D"/>
    <w:rsid w:val="00A9346D"/>
    <w:rsid w:val="00A96F53"/>
    <w:rsid w:val="00AA0CB8"/>
    <w:rsid w:val="00AA4752"/>
    <w:rsid w:val="00AA5A87"/>
    <w:rsid w:val="00AA710C"/>
    <w:rsid w:val="00AB2A83"/>
    <w:rsid w:val="00AB3A14"/>
    <w:rsid w:val="00AB7846"/>
    <w:rsid w:val="00AC1AC0"/>
    <w:rsid w:val="00AC2F62"/>
    <w:rsid w:val="00AD04C2"/>
    <w:rsid w:val="00AD1766"/>
    <w:rsid w:val="00AD228F"/>
    <w:rsid w:val="00AD7313"/>
    <w:rsid w:val="00AE4F34"/>
    <w:rsid w:val="00AE6F7B"/>
    <w:rsid w:val="00AF10DC"/>
    <w:rsid w:val="00AF153C"/>
    <w:rsid w:val="00AF25F6"/>
    <w:rsid w:val="00AF3556"/>
    <w:rsid w:val="00AF5644"/>
    <w:rsid w:val="00AF5668"/>
    <w:rsid w:val="00B00791"/>
    <w:rsid w:val="00B01178"/>
    <w:rsid w:val="00B031B3"/>
    <w:rsid w:val="00B105FD"/>
    <w:rsid w:val="00B1299D"/>
    <w:rsid w:val="00B16408"/>
    <w:rsid w:val="00B17166"/>
    <w:rsid w:val="00B23EEA"/>
    <w:rsid w:val="00B31FC5"/>
    <w:rsid w:val="00B33745"/>
    <w:rsid w:val="00B33A8A"/>
    <w:rsid w:val="00B3415C"/>
    <w:rsid w:val="00B342F9"/>
    <w:rsid w:val="00B34916"/>
    <w:rsid w:val="00B440FC"/>
    <w:rsid w:val="00B56F2A"/>
    <w:rsid w:val="00B62308"/>
    <w:rsid w:val="00B736BB"/>
    <w:rsid w:val="00B74B86"/>
    <w:rsid w:val="00B76EC3"/>
    <w:rsid w:val="00B80F78"/>
    <w:rsid w:val="00B86103"/>
    <w:rsid w:val="00B93BEC"/>
    <w:rsid w:val="00B94E8D"/>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6AF"/>
    <w:rsid w:val="00C1585B"/>
    <w:rsid w:val="00C239A6"/>
    <w:rsid w:val="00C30A8F"/>
    <w:rsid w:val="00C35526"/>
    <w:rsid w:val="00C3646E"/>
    <w:rsid w:val="00C4593F"/>
    <w:rsid w:val="00C45C2D"/>
    <w:rsid w:val="00C6289E"/>
    <w:rsid w:val="00C62C80"/>
    <w:rsid w:val="00C8123B"/>
    <w:rsid w:val="00C862E4"/>
    <w:rsid w:val="00CA4278"/>
    <w:rsid w:val="00CB2E64"/>
    <w:rsid w:val="00CC1629"/>
    <w:rsid w:val="00CC2D91"/>
    <w:rsid w:val="00CC493E"/>
    <w:rsid w:val="00CC5A87"/>
    <w:rsid w:val="00CC7210"/>
    <w:rsid w:val="00CD14E0"/>
    <w:rsid w:val="00CD2DFF"/>
    <w:rsid w:val="00CE15EC"/>
    <w:rsid w:val="00CE6E92"/>
    <w:rsid w:val="00D01AF5"/>
    <w:rsid w:val="00D01D85"/>
    <w:rsid w:val="00D07AE5"/>
    <w:rsid w:val="00D14376"/>
    <w:rsid w:val="00D15EAF"/>
    <w:rsid w:val="00D23863"/>
    <w:rsid w:val="00D239B2"/>
    <w:rsid w:val="00D31E70"/>
    <w:rsid w:val="00D45A28"/>
    <w:rsid w:val="00D51746"/>
    <w:rsid w:val="00D55AB6"/>
    <w:rsid w:val="00D56046"/>
    <w:rsid w:val="00D57757"/>
    <w:rsid w:val="00D7059C"/>
    <w:rsid w:val="00D72073"/>
    <w:rsid w:val="00D76C32"/>
    <w:rsid w:val="00D908E4"/>
    <w:rsid w:val="00D93EF8"/>
    <w:rsid w:val="00DA7A0F"/>
    <w:rsid w:val="00DB4249"/>
    <w:rsid w:val="00DB6E98"/>
    <w:rsid w:val="00DB71AD"/>
    <w:rsid w:val="00DC03BE"/>
    <w:rsid w:val="00DD0619"/>
    <w:rsid w:val="00DD16BD"/>
    <w:rsid w:val="00DD2910"/>
    <w:rsid w:val="00DD5B78"/>
    <w:rsid w:val="00DF279D"/>
    <w:rsid w:val="00E0461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82C21"/>
    <w:rsid w:val="00E9251D"/>
    <w:rsid w:val="00E95C09"/>
    <w:rsid w:val="00EA0B35"/>
    <w:rsid w:val="00EA160B"/>
    <w:rsid w:val="00EA5FAE"/>
    <w:rsid w:val="00EB56FB"/>
    <w:rsid w:val="00EC070F"/>
    <w:rsid w:val="00ED17C9"/>
    <w:rsid w:val="00ED7187"/>
    <w:rsid w:val="00EE40F4"/>
    <w:rsid w:val="00EE64A2"/>
    <w:rsid w:val="00EE7935"/>
    <w:rsid w:val="00EF7C83"/>
    <w:rsid w:val="00F03DDD"/>
    <w:rsid w:val="00F1532A"/>
    <w:rsid w:val="00F16216"/>
    <w:rsid w:val="00F2197B"/>
    <w:rsid w:val="00F22EB2"/>
    <w:rsid w:val="00F2421E"/>
    <w:rsid w:val="00F25AE1"/>
    <w:rsid w:val="00F30304"/>
    <w:rsid w:val="00F41C0F"/>
    <w:rsid w:val="00F43C1C"/>
    <w:rsid w:val="00F45E52"/>
    <w:rsid w:val="00F47FA4"/>
    <w:rsid w:val="00F550E9"/>
    <w:rsid w:val="00F56A1F"/>
    <w:rsid w:val="00F6325D"/>
    <w:rsid w:val="00F7401A"/>
    <w:rsid w:val="00F746CB"/>
    <w:rsid w:val="00F83072"/>
    <w:rsid w:val="00F83177"/>
    <w:rsid w:val="00F83964"/>
    <w:rsid w:val="00F97EC4"/>
    <w:rsid w:val="00FA2147"/>
    <w:rsid w:val="00FA25D9"/>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1715</Words>
  <Characters>9438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3</cp:revision>
  <dcterms:created xsi:type="dcterms:W3CDTF">2020-07-06T11:11:00Z</dcterms:created>
  <dcterms:modified xsi:type="dcterms:W3CDTF">2020-07-06T11:19:00Z</dcterms:modified>
</cp:coreProperties>
</file>